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351F6" w14:textId="77777777" w:rsidR="00F550B2" w:rsidRPr="00A37DA8" w:rsidRDefault="00F550B2" w:rsidP="00F550B2">
      <w:pPr>
        <w:pStyle w:val="Naslovpredpisa"/>
        <w:spacing w:before="0" w:after="0" w:line="260" w:lineRule="exact"/>
        <w:jc w:val="right"/>
        <w:rPr>
          <w:rFonts w:cs="Arial"/>
          <w:sz w:val="20"/>
          <w:szCs w:val="20"/>
          <w:lang w:val="sl-SI"/>
        </w:rPr>
      </w:pPr>
      <w:bookmarkStart w:id="0" w:name="_GoBack"/>
      <w:bookmarkEnd w:id="0"/>
      <w:r w:rsidRPr="00A37DA8">
        <w:rPr>
          <w:rFonts w:cs="Arial"/>
          <w:sz w:val="20"/>
          <w:szCs w:val="20"/>
          <w:lang w:val="sl-SI"/>
        </w:rPr>
        <w:t>PREDLOG</w:t>
      </w:r>
    </w:p>
    <w:p w14:paraId="663351F7" w14:textId="77777777" w:rsidR="00F550B2" w:rsidRPr="00A37DA8" w:rsidRDefault="00F550B2" w:rsidP="00F550B2">
      <w:pPr>
        <w:pStyle w:val="Naslovpredpisa"/>
        <w:spacing w:before="0" w:after="0" w:line="260" w:lineRule="exact"/>
        <w:jc w:val="right"/>
        <w:rPr>
          <w:rFonts w:cs="Arial"/>
          <w:sz w:val="20"/>
          <w:szCs w:val="20"/>
          <w:lang w:val="sl-SI"/>
        </w:rPr>
      </w:pPr>
      <w:r w:rsidRPr="00A37DA8">
        <w:rPr>
          <w:rFonts w:cs="Arial"/>
          <w:sz w:val="20"/>
          <w:szCs w:val="20"/>
          <w:lang w:val="sl-SI"/>
        </w:rPr>
        <w:t>(EVA 2017-1611-0024)</w:t>
      </w:r>
    </w:p>
    <w:tbl>
      <w:tblPr>
        <w:tblW w:w="0" w:type="auto"/>
        <w:tblLook w:val="04A0" w:firstRow="1" w:lastRow="0" w:firstColumn="1" w:lastColumn="0" w:noHBand="0" w:noVBand="1"/>
      </w:tblPr>
      <w:tblGrid>
        <w:gridCol w:w="9213"/>
      </w:tblGrid>
      <w:tr w:rsidR="00F550B2" w:rsidRPr="00A37DA8" w14:paraId="663351FB" w14:textId="77777777" w:rsidTr="00C7426A">
        <w:tc>
          <w:tcPr>
            <w:tcW w:w="9213" w:type="dxa"/>
          </w:tcPr>
          <w:p w14:paraId="663351F8" w14:textId="77777777" w:rsidR="00F550B2" w:rsidRPr="00A37DA8" w:rsidRDefault="00F550B2" w:rsidP="00C7426A">
            <w:pPr>
              <w:pStyle w:val="Naslovpredpisa"/>
              <w:spacing w:before="0" w:after="0" w:line="260" w:lineRule="exact"/>
              <w:rPr>
                <w:rFonts w:cs="Arial"/>
                <w:sz w:val="20"/>
                <w:szCs w:val="20"/>
                <w:lang w:val="sl-SI" w:eastAsia="sl-SI"/>
              </w:rPr>
            </w:pPr>
            <w:r w:rsidRPr="00A37DA8">
              <w:rPr>
                <w:rFonts w:cs="Arial"/>
                <w:sz w:val="20"/>
                <w:szCs w:val="20"/>
                <w:lang w:val="sl-SI" w:eastAsia="sl-SI"/>
              </w:rPr>
              <w:t xml:space="preserve">ZAKON </w:t>
            </w:r>
          </w:p>
          <w:p w14:paraId="663351F9" w14:textId="77777777" w:rsidR="00F550B2" w:rsidRPr="00A37DA8" w:rsidRDefault="00F550B2" w:rsidP="00C7426A">
            <w:pPr>
              <w:suppressAutoHyphens/>
              <w:overflowPunct w:val="0"/>
              <w:autoSpaceDE w:val="0"/>
              <w:autoSpaceDN w:val="0"/>
              <w:adjustRightInd w:val="0"/>
              <w:spacing w:after="0" w:line="260" w:lineRule="exact"/>
              <w:jc w:val="center"/>
              <w:textAlignment w:val="baseline"/>
              <w:rPr>
                <w:rFonts w:ascii="Arial" w:eastAsia="Times New Roman" w:hAnsi="Arial" w:cs="Arial"/>
                <w:b/>
                <w:sz w:val="20"/>
                <w:szCs w:val="20"/>
                <w:lang w:eastAsia="sl-SI"/>
              </w:rPr>
            </w:pPr>
            <w:r w:rsidRPr="00A37DA8">
              <w:rPr>
                <w:rFonts w:ascii="Arial" w:eastAsia="Times New Roman" w:hAnsi="Arial" w:cs="Arial"/>
                <w:b/>
                <w:sz w:val="20"/>
                <w:szCs w:val="20"/>
                <w:lang w:eastAsia="sl-SI"/>
              </w:rPr>
              <w:t>O SPREMEMBAH IN DOPOLNITVAH ZAKONA O DAVKU OD DOHODKOV PRAVNIH OSEB</w:t>
            </w:r>
          </w:p>
          <w:p w14:paraId="663351FA" w14:textId="77777777" w:rsidR="00F550B2" w:rsidRPr="00A37DA8" w:rsidRDefault="00F550B2" w:rsidP="00C7426A">
            <w:pPr>
              <w:pStyle w:val="Naslovpredpisa"/>
              <w:spacing w:before="0" w:after="0" w:line="260" w:lineRule="exact"/>
              <w:rPr>
                <w:rFonts w:cs="Arial"/>
                <w:sz w:val="20"/>
                <w:szCs w:val="20"/>
                <w:lang w:val="sl-SI" w:eastAsia="sl-SI"/>
              </w:rPr>
            </w:pPr>
          </w:p>
        </w:tc>
      </w:tr>
      <w:tr w:rsidR="00F550B2" w:rsidRPr="00A37DA8" w14:paraId="6633529E" w14:textId="77777777" w:rsidTr="00C7426A">
        <w:tc>
          <w:tcPr>
            <w:tcW w:w="9213" w:type="dxa"/>
          </w:tcPr>
          <w:tbl>
            <w:tblPr>
              <w:tblW w:w="0" w:type="auto"/>
              <w:tblLook w:val="04A0" w:firstRow="1" w:lastRow="0" w:firstColumn="1" w:lastColumn="0" w:noHBand="0" w:noVBand="1"/>
            </w:tblPr>
            <w:tblGrid>
              <w:gridCol w:w="8997"/>
            </w:tblGrid>
            <w:tr w:rsidR="00F550B2" w:rsidRPr="00A37DA8" w14:paraId="663351FD" w14:textId="77777777" w:rsidTr="00C7426A">
              <w:tc>
                <w:tcPr>
                  <w:tcW w:w="9213" w:type="dxa"/>
                </w:tcPr>
                <w:p w14:paraId="663351FC" w14:textId="77777777" w:rsidR="00F550B2" w:rsidRPr="00A37DA8" w:rsidRDefault="00F550B2" w:rsidP="00C7426A">
                  <w:pPr>
                    <w:pStyle w:val="Poglavje"/>
                    <w:spacing w:before="0" w:after="0" w:line="260" w:lineRule="exact"/>
                    <w:jc w:val="left"/>
                    <w:rPr>
                      <w:sz w:val="20"/>
                      <w:szCs w:val="20"/>
                    </w:rPr>
                  </w:pPr>
                  <w:r w:rsidRPr="00A37DA8">
                    <w:rPr>
                      <w:sz w:val="20"/>
                      <w:szCs w:val="20"/>
                    </w:rPr>
                    <w:t>I. UVOD</w:t>
                  </w:r>
                </w:p>
              </w:tc>
            </w:tr>
            <w:tr w:rsidR="00F550B2" w:rsidRPr="00A37DA8" w14:paraId="66335200" w14:textId="77777777" w:rsidTr="00C7426A">
              <w:tc>
                <w:tcPr>
                  <w:tcW w:w="9213" w:type="dxa"/>
                </w:tcPr>
                <w:p w14:paraId="663351FE" w14:textId="77777777" w:rsidR="00F550B2" w:rsidRPr="00A37DA8" w:rsidRDefault="00F550B2" w:rsidP="00F550B2">
                  <w:pPr>
                    <w:pStyle w:val="Oddelek"/>
                    <w:numPr>
                      <w:ilvl w:val="0"/>
                      <w:numId w:val="6"/>
                    </w:numPr>
                    <w:spacing w:before="0" w:after="0" w:line="260" w:lineRule="exact"/>
                    <w:jc w:val="left"/>
                    <w:rPr>
                      <w:rFonts w:cs="Arial"/>
                      <w:sz w:val="20"/>
                      <w:szCs w:val="20"/>
                      <w:lang w:val="sl-SI" w:eastAsia="sl-SI"/>
                    </w:rPr>
                  </w:pPr>
                  <w:r w:rsidRPr="00A37DA8">
                    <w:rPr>
                      <w:rFonts w:cs="Arial"/>
                      <w:sz w:val="20"/>
                      <w:szCs w:val="20"/>
                      <w:lang w:val="sl-SI" w:eastAsia="sl-SI"/>
                    </w:rPr>
                    <w:t>OCENA STANJA IN RAZLOGI ZA SPREJEM PREDLOGA ZAKONA</w:t>
                  </w:r>
                </w:p>
                <w:p w14:paraId="663351FF" w14:textId="77777777" w:rsidR="00F550B2" w:rsidRPr="00A37DA8" w:rsidRDefault="00F550B2" w:rsidP="00C7426A">
                  <w:pPr>
                    <w:pStyle w:val="Oddelek"/>
                    <w:numPr>
                      <w:ilvl w:val="0"/>
                      <w:numId w:val="0"/>
                    </w:numPr>
                    <w:spacing w:before="0" w:after="0" w:line="260" w:lineRule="exact"/>
                    <w:ind w:left="720"/>
                    <w:jc w:val="left"/>
                    <w:rPr>
                      <w:rFonts w:cs="Arial"/>
                      <w:sz w:val="20"/>
                      <w:szCs w:val="20"/>
                      <w:lang w:val="sl-SI" w:eastAsia="sl-SI"/>
                    </w:rPr>
                  </w:pPr>
                </w:p>
              </w:tc>
            </w:tr>
            <w:tr w:rsidR="00F550B2" w:rsidRPr="00A37DA8" w14:paraId="66335210" w14:textId="77777777" w:rsidTr="00C7426A">
              <w:tc>
                <w:tcPr>
                  <w:tcW w:w="9213" w:type="dxa"/>
                </w:tcPr>
                <w:p w14:paraId="66335201" w14:textId="77777777" w:rsidR="00F550B2" w:rsidRPr="00A37DA8" w:rsidRDefault="00F550B2" w:rsidP="00C7426A">
                  <w:pPr>
                    <w:spacing w:after="0" w:line="260" w:lineRule="exact"/>
                    <w:jc w:val="both"/>
                    <w:rPr>
                      <w:rFonts w:ascii="Arial" w:eastAsia="Times New Roman" w:hAnsi="Arial" w:cs="Arial"/>
                      <w:sz w:val="20"/>
                      <w:szCs w:val="20"/>
                    </w:rPr>
                  </w:pPr>
                  <w:r w:rsidRPr="00A37DA8">
                    <w:rPr>
                      <w:rFonts w:ascii="Arial" w:eastAsia="Times New Roman" w:hAnsi="Arial" w:cs="Arial"/>
                      <w:sz w:val="20"/>
                      <w:szCs w:val="20"/>
                    </w:rPr>
                    <w:t>1.1</w:t>
                  </w:r>
                </w:p>
                <w:p w14:paraId="66335202" w14:textId="77777777" w:rsidR="00F550B2" w:rsidRPr="00A37DA8" w:rsidRDefault="00F550B2" w:rsidP="00C7426A">
                  <w:pPr>
                    <w:spacing w:after="0" w:line="260" w:lineRule="exact"/>
                    <w:jc w:val="both"/>
                    <w:rPr>
                      <w:rFonts w:ascii="Arial" w:eastAsia="Times New Roman" w:hAnsi="Arial" w:cs="Arial"/>
                      <w:sz w:val="20"/>
                      <w:szCs w:val="20"/>
                    </w:rPr>
                  </w:pPr>
                  <w:r w:rsidRPr="00A37DA8">
                    <w:rPr>
                      <w:rFonts w:ascii="Arial" w:eastAsia="Times New Roman" w:hAnsi="Arial" w:cs="Arial"/>
                      <w:sz w:val="20"/>
                      <w:szCs w:val="20"/>
                    </w:rPr>
                    <w:t xml:space="preserve">Z Zakonom o spremembah in dopolnitvah Zakona o davku od dohodkov pravnih oseb </w:t>
                  </w:r>
                  <w:r w:rsidRPr="00A37DA8">
                    <w:rPr>
                      <w:rFonts w:ascii="Arial" w:eastAsia="Times New Roman" w:hAnsi="Arial" w:cs="Arial"/>
                      <w:sz w:val="20"/>
                      <w:szCs w:val="20"/>
                      <w:lang w:eastAsia="sl-SI"/>
                    </w:rPr>
                    <w:t xml:space="preserve">(Uradni list RS, št. 94/12) je bila </w:t>
                  </w:r>
                  <w:r w:rsidRPr="00A37DA8">
                    <w:rPr>
                      <w:rFonts w:ascii="Arial" w:eastAsia="Times New Roman" w:hAnsi="Arial" w:cs="Arial"/>
                      <w:sz w:val="20"/>
                      <w:szCs w:val="20"/>
                    </w:rPr>
                    <w:t>določena uveljavitev novega načina ugotavljanja davčne osnove in posledično davka za določene zavezance. Določena je bila posebna opcijska ureditev za ugotavljanje davčne osnove z upoštevanjem normiranih odhodkov za določen krog zavezancev za davek od dohodkov pravnih oseb, ki dosegajo prihodke do 50.000 eurov v predhodnem koledarskem letu. Na področju ugotavljanja oziroma priznavanja prihodkov za davčne namene za te zavezance ni bilo sprememb, sprememba pa je bila določena na področju priznavanja odhodkov za davčne namene, ki se priznajo v normiranem znesku, v višini 70 % davčno priznanih dohodkov. Ocenjeno je bilo, da gre za določeno razbremenitev, ki olajšuje in poenostavlja obračunavanje in plačevanje davka, predvsem za male davčne zavezance z nizkimi prihodki.</w:t>
                  </w:r>
                </w:p>
                <w:p w14:paraId="66335203" w14:textId="77777777" w:rsidR="00F550B2" w:rsidRPr="00A37DA8" w:rsidRDefault="00F550B2" w:rsidP="00C7426A">
                  <w:pPr>
                    <w:spacing w:after="0" w:line="260" w:lineRule="exact"/>
                    <w:jc w:val="both"/>
                    <w:rPr>
                      <w:rFonts w:ascii="Arial" w:eastAsia="Times New Roman" w:hAnsi="Arial" w:cs="Arial"/>
                      <w:sz w:val="20"/>
                      <w:szCs w:val="20"/>
                    </w:rPr>
                  </w:pPr>
                </w:p>
                <w:p w14:paraId="66335204" w14:textId="77777777" w:rsidR="00F550B2" w:rsidRPr="00A37DA8" w:rsidRDefault="00F550B2" w:rsidP="00C7426A">
                  <w:pPr>
                    <w:jc w:val="both"/>
                    <w:rPr>
                      <w:rFonts w:ascii="Arial" w:eastAsia="Times New Roman" w:hAnsi="Arial" w:cs="Arial"/>
                      <w:sz w:val="20"/>
                      <w:szCs w:val="20"/>
                    </w:rPr>
                  </w:pPr>
                  <w:r w:rsidRPr="00A37DA8">
                    <w:rPr>
                      <w:rFonts w:ascii="Arial" w:eastAsia="Times New Roman" w:hAnsi="Arial" w:cs="Arial"/>
                      <w:sz w:val="20"/>
                      <w:szCs w:val="20"/>
                    </w:rPr>
                    <w:t>Zakon o spremembah Zakona o davku od dohodkov pravnih oseb (Uradni list RS, št. 50/14) pa je določil še limit prihodkov, ki je določen kot pogoj za vstop v sistem, in sicer v višini 100.000 eurov, pod pogojem, da je bila pri zavezancu v skladu s predpisi, ki urejajo pokojninsko in invalidsko zavarovanje, pri zavezancu obvezno zavarovana vsaj ena oseba za polni delovni čas neprekinjeno najmanj pet mesecev. Dodatno se je dvignila tudi višina normiranih odhodkov na 80 % davčno priznanih prihodkov.</w:t>
                  </w:r>
                </w:p>
                <w:p w14:paraId="66335205" w14:textId="77777777" w:rsidR="00F550B2" w:rsidRPr="00A37DA8" w:rsidRDefault="00F550B2" w:rsidP="00C7426A">
                  <w:pPr>
                    <w:jc w:val="both"/>
                    <w:rPr>
                      <w:rFonts w:ascii="Arial" w:eastAsia="Times New Roman" w:hAnsi="Arial" w:cs="Arial"/>
                      <w:sz w:val="20"/>
                      <w:szCs w:val="20"/>
                    </w:rPr>
                  </w:pPr>
                  <w:r w:rsidRPr="00A37DA8">
                    <w:rPr>
                      <w:rFonts w:ascii="Arial" w:eastAsia="Times New Roman" w:hAnsi="Arial" w:cs="Arial"/>
                      <w:sz w:val="20"/>
                      <w:szCs w:val="20"/>
                    </w:rPr>
                    <w:t>Iz obračunskih podatkov davka od dohodkov pravnih oseb je razvidno, da so zavezanci, ki so ugotavljali davčno osnovo na podlagi normiranih odhodkov, v obdobju od leta 2013 do 2016 v povprečju predstavljali le 0,6 % glede na vse zavezance, ki so oddali obračun davka. V letu 2016 je bilo 1.044 zavezancev za davek od dohodkov pravnih oseb, ki so ugotavljali davčno osnovo na podlagi normiranih odhodkov, kar predstavlja 3 % vseh zavezancev, ki bi lahko vstopili v ta sistem.</w:t>
                  </w:r>
                </w:p>
                <w:p w14:paraId="66335206" w14:textId="77777777" w:rsidR="00F550B2" w:rsidRPr="00A37DA8" w:rsidRDefault="00F550B2" w:rsidP="00C7426A">
                  <w:pPr>
                    <w:jc w:val="both"/>
                    <w:rPr>
                      <w:rFonts w:ascii="Arial" w:eastAsia="Times New Roman" w:hAnsi="Arial" w:cs="Arial"/>
                      <w:sz w:val="20"/>
                      <w:szCs w:val="20"/>
                    </w:rPr>
                  </w:pPr>
                  <w:r w:rsidRPr="00A37DA8">
                    <w:rPr>
                      <w:rFonts w:ascii="Arial" w:eastAsia="Times New Roman" w:hAnsi="Arial" w:cs="Arial"/>
                      <w:sz w:val="20"/>
                      <w:szCs w:val="20"/>
                    </w:rPr>
                    <w:t xml:space="preserve">Vse od uveljavitve sistema se je število zavezancev, ki so ugotavljali davčno osnovo na podlagi normiranih odhodkov ves čas povečevalo. V letu 2016 se je kar 43 % več zavezancev odločilo za ugotavljanje davčne osnove na podlagi normiranih odhodkov kot v predhodnem letu, glede na leto 2013 pa je zavezancev že 4,3-krat več. Največ tovrstnih zavezancev je bilo v obdobju od leta 2013 do 2016 na področju storitvenih dejavnosti, in sicer prevladujejo strokovne, znanstvene in tehnične dejavnosti (v povprečju kar okrog 51 % vseh </w:t>
                  </w:r>
                  <w:proofErr w:type="spellStart"/>
                  <w:r w:rsidRPr="00A37DA8">
                    <w:rPr>
                      <w:rFonts w:ascii="Arial" w:eastAsia="Times New Roman" w:hAnsi="Arial" w:cs="Arial"/>
                      <w:sz w:val="20"/>
                      <w:szCs w:val="20"/>
                    </w:rPr>
                    <w:t>normirancev</w:t>
                  </w:r>
                  <w:proofErr w:type="spellEnd"/>
                  <w:r w:rsidRPr="00A37DA8">
                    <w:rPr>
                      <w:rFonts w:ascii="Arial" w:eastAsia="Times New Roman" w:hAnsi="Arial" w:cs="Arial"/>
                      <w:sz w:val="20"/>
                      <w:szCs w:val="20"/>
                    </w:rPr>
                    <w:t xml:space="preserve">), sledijo pa dejavnosti trgovine, vzdrževanje in popravilo motornih vozil (11,5 % vseh </w:t>
                  </w:r>
                  <w:proofErr w:type="spellStart"/>
                  <w:r w:rsidRPr="00A37DA8">
                    <w:rPr>
                      <w:rFonts w:ascii="Arial" w:eastAsia="Times New Roman" w:hAnsi="Arial" w:cs="Arial"/>
                      <w:sz w:val="20"/>
                      <w:szCs w:val="20"/>
                    </w:rPr>
                    <w:t>normirancev</w:t>
                  </w:r>
                  <w:proofErr w:type="spellEnd"/>
                  <w:r w:rsidRPr="00A37DA8">
                    <w:rPr>
                      <w:rFonts w:ascii="Arial" w:eastAsia="Times New Roman" w:hAnsi="Arial" w:cs="Arial"/>
                      <w:sz w:val="20"/>
                      <w:szCs w:val="20"/>
                    </w:rPr>
                    <w:t>).</w:t>
                  </w:r>
                </w:p>
                <w:p w14:paraId="66335207" w14:textId="77777777" w:rsidR="00F550B2" w:rsidRPr="00A37DA8" w:rsidRDefault="00F550B2" w:rsidP="00C7426A">
                  <w:pPr>
                    <w:jc w:val="both"/>
                    <w:rPr>
                      <w:rFonts w:ascii="Arial" w:eastAsia="Times New Roman" w:hAnsi="Arial" w:cs="Arial"/>
                      <w:sz w:val="20"/>
                      <w:szCs w:val="20"/>
                    </w:rPr>
                  </w:pPr>
                  <w:r w:rsidRPr="00A37DA8">
                    <w:rPr>
                      <w:rFonts w:ascii="Arial" w:eastAsia="Times New Roman" w:hAnsi="Arial" w:cs="Arial"/>
                      <w:sz w:val="20"/>
                      <w:szCs w:val="20"/>
                    </w:rPr>
                    <w:t xml:space="preserve">Ugotovimo lahko, da se zavezanci pri odločanju za vstop v sistem obnašajo racionalno in pri odločitvi upoštevajo spekter vseh dejavnikov, ki vplivajo na njihovo poslovanje, in ne zgolj davčni vidik. Sistem normiranih odhodkov na splošno za pravne osebe ni tako izrazita administrativna poenostavitev kot pri fizičnih osebah, ki opravljajo dejavnost. Pravne osebe so namreč ne glede na izbran sistem obdavčitve še vedno dolžne voditi poslovne knjige in sestavljati ter predlagati letna poročila na podlagi Zakona o gospodarskih družbah (Uradni list RS, št. 65/09 – uradno prečiščeno besedilo, 33/11, 91/11, 32/12, 57/12, 44/13 – </w:t>
                  </w:r>
                  <w:proofErr w:type="spellStart"/>
                  <w:r w:rsidRPr="00A37DA8">
                    <w:rPr>
                      <w:rFonts w:ascii="Arial" w:eastAsia="Times New Roman" w:hAnsi="Arial" w:cs="Arial"/>
                      <w:sz w:val="20"/>
                      <w:szCs w:val="20"/>
                    </w:rPr>
                    <w:t>odl</w:t>
                  </w:r>
                  <w:proofErr w:type="spellEnd"/>
                  <w:r w:rsidRPr="00A37DA8">
                    <w:rPr>
                      <w:rFonts w:ascii="Arial" w:eastAsia="Times New Roman" w:hAnsi="Arial" w:cs="Arial"/>
                      <w:sz w:val="20"/>
                      <w:szCs w:val="20"/>
                    </w:rPr>
                    <w:t>. US, 82/13, 55/15 in 15/17).</w:t>
                  </w:r>
                </w:p>
                <w:p w14:paraId="66335208" w14:textId="77777777" w:rsidR="00F550B2" w:rsidRPr="00A37DA8" w:rsidRDefault="00F550B2" w:rsidP="00C7426A">
                  <w:pPr>
                    <w:spacing w:after="0" w:line="260" w:lineRule="exact"/>
                    <w:jc w:val="both"/>
                    <w:rPr>
                      <w:rFonts w:ascii="Arial" w:eastAsia="Times New Roman" w:hAnsi="Arial" w:cs="Arial"/>
                      <w:sz w:val="20"/>
                      <w:szCs w:val="20"/>
                    </w:rPr>
                  </w:pPr>
                  <w:r w:rsidRPr="00A37DA8">
                    <w:rPr>
                      <w:rFonts w:ascii="Arial" w:eastAsia="Times New Roman" w:hAnsi="Arial" w:cs="Arial"/>
                      <w:sz w:val="20"/>
                      <w:szCs w:val="20"/>
                    </w:rPr>
                    <w:t xml:space="preserve">Analiza sistema normiranih odhodkov v okviru davka od dohodkov pravnih oseb in dohodnine (dohodki iz dejavnosti) je pokazala, da nameni in cilji nadgradnje sistema normiranih odhodkov za fizične osebe, ki opravljajo dejavnost, in uvedba sistema normiranih odhodkov za pravne osebe, ki se je začela uporabljati z davčnim letom 2013, niso bili doseženi. Ugotovljeno je bilo, da je za zavezanca za vstop v sistem ključen njegov celokupni položaj in ne samo nižji stroški </w:t>
                  </w:r>
                  <w:r w:rsidRPr="00A37DA8">
                    <w:rPr>
                      <w:rFonts w:ascii="Arial" w:eastAsia="Times New Roman" w:hAnsi="Arial" w:cs="Arial"/>
                      <w:sz w:val="20"/>
                      <w:szCs w:val="20"/>
                    </w:rPr>
                    <w:lastRenderedPageBreak/>
                    <w:t>administriranja oziroma nižja davčna obveznost, da je sistem nesorazmerno ugodnejši za zavezance v storitvenih dejavnostih, da sistem predstavlja spodbudo za pojav nezakonitih praks na trgu dela in da spodbuja prikrivanje prihodkov, verižno ustanavljanje podjetij preko različnih statusnih oblik (zlasti med povezanimi osebami) s ciljem izpolnjevanja pogojev za vstop oziroma za obstanek v sistemu.</w:t>
                  </w:r>
                </w:p>
                <w:p w14:paraId="66335209" w14:textId="77777777" w:rsidR="00F550B2" w:rsidRPr="00A37DA8" w:rsidRDefault="00F550B2" w:rsidP="00C7426A">
                  <w:pPr>
                    <w:tabs>
                      <w:tab w:val="left" w:pos="284"/>
                    </w:tab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633520A" w14:textId="77777777" w:rsidR="00F550B2" w:rsidRPr="00A37DA8" w:rsidRDefault="00F550B2" w:rsidP="00C7426A">
                  <w:pPr>
                    <w:tabs>
                      <w:tab w:val="left" w:pos="284"/>
                    </w:tab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7DA8">
                    <w:rPr>
                      <w:rFonts w:ascii="Arial" w:eastAsia="Times New Roman" w:hAnsi="Arial" w:cs="Arial"/>
                      <w:sz w:val="20"/>
                      <w:szCs w:val="20"/>
                      <w:lang w:eastAsia="sl-SI"/>
                    </w:rPr>
                    <w:t>1.2</w:t>
                  </w:r>
                </w:p>
                <w:p w14:paraId="6633520B" w14:textId="77777777" w:rsidR="00F550B2" w:rsidRPr="00A37DA8" w:rsidRDefault="00F550B2" w:rsidP="00C7426A">
                  <w:pPr>
                    <w:tabs>
                      <w:tab w:val="left" w:pos="284"/>
                    </w:tab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7DA8">
                    <w:rPr>
                      <w:rFonts w:ascii="Arial" w:eastAsia="Times New Roman" w:hAnsi="Arial" w:cs="Arial"/>
                      <w:sz w:val="20"/>
                      <w:szCs w:val="20"/>
                      <w:lang w:eastAsia="sl-SI"/>
                    </w:rPr>
                    <w:t>Po Zakonu o davku od dohodkov pravnih oseb (Uradni list RS, št. 117/06, 56/08, 76/08, 5/09, 96/09, 110/09 – ZDavP-2B, 43/10, 59/11, 24/12, 30/12, 94/12, 81/13, 50/14, 23/15, 82/15 in 68/16; v nadaljnjem besedilu: ZDDPO-2) je ugotavljanje davčne osnove tesno povezano z ugotavljanjem dobička za poslovne namene po računovodskih standardih. ZDDPO-2 namreč v 12. členu določa, da je osnova za davek dobiček, ki je opredeljen kot presežek prihodkov nad odhodki. Če z omenjenim zakonom ni določeno drugače, se za ugotavljanje dobička priznajo prihodki in odhodki, ugotovljeni v izkazu poslovnega izida oziroma letnem poročilu, ki ustreza izkazu poslovnega izida in prikazuje prihodke, odhodke in poslovni izid, na podlagi zakona in v skladu z njim uvedenimi računovodskimi standardi. Na podlagi te določbe računovodska obravnava posameznih kategorij vpliva na višino davčne osnove.</w:t>
                  </w:r>
                </w:p>
                <w:p w14:paraId="6633520C" w14:textId="77777777" w:rsidR="00F550B2" w:rsidRPr="00A37DA8" w:rsidRDefault="00F550B2" w:rsidP="00C7426A">
                  <w:pPr>
                    <w:tabs>
                      <w:tab w:val="left" w:pos="284"/>
                    </w:tab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633520D" w14:textId="77777777" w:rsidR="00F550B2" w:rsidRPr="00A37DA8" w:rsidRDefault="00F550B2" w:rsidP="00C7426A">
                  <w:pPr>
                    <w:tabs>
                      <w:tab w:val="left" w:pos="284"/>
                    </w:tab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7DA8">
                    <w:rPr>
                      <w:rFonts w:ascii="Arial" w:eastAsia="Times New Roman" w:hAnsi="Arial" w:cs="Arial"/>
                      <w:sz w:val="20"/>
                      <w:szCs w:val="20"/>
                      <w:lang w:eastAsia="sl-SI"/>
                    </w:rPr>
                    <w:t xml:space="preserve">Z Uredbo Komisije 2016/2067 z dne 22. novembra 2016 o spremembi Uredbe (ES) št. 1126/2008 o sprejetju nekaterih mednarodnih računovodskih standardov v skladu z Uredbo (ES) št. 1606/2002 Evropskega parlamenta in Sveta glede Mednarodnega standarda računovodskega poročanja 9 je bil za uporabo v EU potrjen nov Mednarodni standard računovodskega poročanja (MSRP) 9 – Finančni instrumenti. Namen novega MSRP 9 je izboljšanje računovodskega poročanja o finančnih instrumentih, da se preprečijo negativne posledice, ki so se pokazale med zadnjo finančno krizo, ko so bila tveganja podcenjena. Standard določa nov način vrednotenja finančnih instrumentov, ki temelji na </w:t>
                  </w:r>
                  <w:proofErr w:type="spellStart"/>
                  <w:r w:rsidRPr="00A37DA8">
                    <w:rPr>
                      <w:rFonts w:ascii="Arial" w:eastAsia="Times New Roman" w:hAnsi="Arial" w:cs="Arial"/>
                      <w:sz w:val="20"/>
                      <w:szCs w:val="20"/>
                      <w:lang w:eastAsia="sl-SI"/>
                    </w:rPr>
                    <w:t>pripoznavanju</w:t>
                  </w:r>
                  <w:proofErr w:type="spellEnd"/>
                  <w:r w:rsidRPr="00A37DA8">
                    <w:rPr>
                      <w:rFonts w:ascii="Arial" w:eastAsia="Times New Roman" w:hAnsi="Arial" w:cs="Arial"/>
                      <w:sz w:val="20"/>
                      <w:szCs w:val="20"/>
                      <w:lang w:eastAsia="sl-SI"/>
                    </w:rPr>
                    <w:t xml:space="preserve"> bodočih pričakovanih izgub (letnih in vseživljenjskih) v odvisnosti od izbranega poslovnega modela za portfelj finančnih sredstev in pogodbenih denarnih tokov finančnega sredstva. Standard določa, da se nekateri učinki sprememb poštene vrednosti za določena sredstva in obveznosti pripoznajo v drugem vseobsegajočem donosu in se tudi ob odpravi pripoznanja ne prenesejo v izkaz poslovnega izida. Posledično po določbah trenutno veljavne zakonodaje te učinki nimajo vpliva na davčno osnovo. Nov MSRP 9 se uporablja najpozneje z začetkom prvega poslovnega leta, ki se začne 1. januarja 2018 ali pozneje.</w:t>
                  </w:r>
                </w:p>
                <w:p w14:paraId="6633520E" w14:textId="77777777" w:rsidR="00F550B2" w:rsidRPr="00A37DA8" w:rsidRDefault="00F550B2" w:rsidP="00C7426A">
                  <w:pPr>
                    <w:tabs>
                      <w:tab w:val="left" w:pos="284"/>
                    </w:tab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633520F" w14:textId="77777777" w:rsidR="00F550B2" w:rsidRPr="00A37DA8" w:rsidRDefault="00F550B2" w:rsidP="00C7426A">
                  <w:pPr>
                    <w:spacing w:after="0" w:line="260" w:lineRule="exact"/>
                    <w:jc w:val="both"/>
                    <w:rPr>
                      <w:rFonts w:ascii="Arial" w:hAnsi="Arial" w:cs="Arial"/>
                      <w:sz w:val="20"/>
                      <w:szCs w:val="20"/>
                    </w:rPr>
                  </w:pPr>
                </w:p>
              </w:tc>
            </w:tr>
            <w:tr w:rsidR="00F550B2" w:rsidRPr="00A37DA8" w14:paraId="66335212" w14:textId="77777777" w:rsidTr="00C7426A">
              <w:tc>
                <w:tcPr>
                  <w:tcW w:w="9213" w:type="dxa"/>
                </w:tcPr>
                <w:p w14:paraId="66335211" w14:textId="77777777" w:rsidR="00F550B2" w:rsidRPr="00A37DA8" w:rsidRDefault="00F550B2" w:rsidP="00C7426A">
                  <w:pPr>
                    <w:pStyle w:val="Oddelek"/>
                    <w:numPr>
                      <w:ilvl w:val="0"/>
                      <w:numId w:val="0"/>
                    </w:numPr>
                    <w:spacing w:before="0" w:after="0" w:line="260" w:lineRule="exact"/>
                    <w:jc w:val="left"/>
                    <w:rPr>
                      <w:rFonts w:cs="Arial"/>
                      <w:sz w:val="20"/>
                      <w:szCs w:val="20"/>
                      <w:lang w:val="sl-SI" w:eastAsia="sl-SI"/>
                    </w:rPr>
                  </w:pPr>
                  <w:r w:rsidRPr="00A37DA8">
                    <w:rPr>
                      <w:rFonts w:cs="Arial"/>
                      <w:sz w:val="20"/>
                      <w:szCs w:val="20"/>
                      <w:lang w:val="sl-SI" w:eastAsia="sl-SI"/>
                    </w:rPr>
                    <w:lastRenderedPageBreak/>
                    <w:t>2. CILJI, NAČELA IN POGLAVITNE REŠITVE PREDLOGA ZAKONA</w:t>
                  </w:r>
                </w:p>
              </w:tc>
            </w:tr>
            <w:tr w:rsidR="00F550B2" w:rsidRPr="00A37DA8" w14:paraId="66335214" w14:textId="77777777" w:rsidTr="00C7426A">
              <w:tc>
                <w:tcPr>
                  <w:tcW w:w="9213" w:type="dxa"/>
                </w:tcPr>
                <w:p w14:paraId="66335213" w14:textId="77777777" w:rsidR="00F550B2" w:rsidRPr="00A37DA8" w:rsidRDefault="00F550B2" w:rsidP="00C7426A">
                  <w:pPr>
                    <w:pStyle w:val="Odsek"/>
                    <w:numPr>
                      <w:ilvl w:val="0"/>
                      <w:numId w:val="0"/>
                    </w:numPr>
                    <w:spacing w:before="0" w:after="0" w:line="260" w:lineRule="exact"/>
                    <w:jc w:val="left"/>
                    <w:rPr>
                      <w:rFonts w:cs="Arial"/>
                      <w:sz w:val="20"/>
                      <w:szCs w:val="20"/>
                      <w:lang w:val="sl-SI" w:eastAsia="sl-SI"/>
                    </w:rPr>
                  </w:pPr>
                  <w:r w:rsidRPr="00A37DA8">
                    <w:rPr>
                      <w:rFonts w:cs="Arial"/>
                      <w:sz w:val="20"/>
                      <w:szCs w:val="20"/>
                      <w:lang w:val="sl-SI" w:eastAsia="sl-SI"/>
                    </w:rPr>
                    <w:t>2.1 Cilji</w:t>
                  </w:r>
                </w:p>
              </w:tc>
            </w:tr>
            <w:tr w:rsidR="00F550B2" w:rsidRPr="00A37DA8" w14:paraId="66335217" w14:textId="77777777" w:rsidTr="00C7426A">
              <w:tc>
                <w:tcPr>
                  <w:tcW w:w="9213" w:type="dxa"/>
                </w:tcPr>
                <w:p w14:paraId="66335215" w14:textId="77777777" w:rsidR="00F550B2" w:rsidRPr="00A37DA8" w:rsidRDefault="00F550B2" w:rsidP="00C7426A">
                  <w:pPr>
                    <w:pStyle w:val="Neotevilenodstavek"/>
                    <w:spacing w:before="0" w:after="0" w:line="260" w:lineRule="exact"/>
                    <w:rPr>
                      <w:rFonts w:cs="Arial"/>
                      <w:sz w:val="20"/>
                      <w:szCs w:val="20"/>
                      <w:lang w:val="sl-SI" w:eastAsia="sl-SI"/>
                    </w:rPr>
                  </w:pPr>
                  <w:r w:rsidRPr="00A37DA8">
                    <w:rPr>
                      <w:rFonts w:cs="Arial"/>
                      <w:sz w:val="20"/>
                      <w:szCs w:val="20"/>
                      <w:lang w:val="sl-SI" w:eastAsia="sl-SI"/>
                    </w:rPr>
                    <w:t>Cilj predloga zakona je zajezitev zlorab sistema in zagotovitev sistemske konsistentnosti oziroma vključitve vseh učinkov prevrednotenj in prerazvrstitev vseh finančnih instrumentov v davčno osnovo.</w:t>
                  </w:r>
                </w:p>
                <w:p w14:paraId="66335216" w14:textId="77777777" w:rsidR="00F550B2" w:rsidRPr="00A37DA8" w:rsidRDefault="00F550B2" w:rsidP="00C7426A">
                  <w:pPr>
                    <w:pStyle w:val="Neotevilenodstavek"/>
                    <w:spacing w:before="0" w:after="0" w:line="260" w:lineRule="exact"/>
                    <w:rPr>
                      <w:rFonts w:cs="Arial"/>
                      <w:sz w:val="20"/>
                      <w:szCs w:val="20"/>
                      <w:lang w:val="sl-SI" w:eastAsia="sl-SI"/>
                    </w:rPr>
                  </w:pPr>
                </w:p>
              </w:tc>
            </w:tr>
            <w:tr w:rsidR="00F550B2" w:rsidRPr="00A37DA8" w14:paraId="66335219" w14:textId="77777777" w:rsidTr="00C7426A">
              <w:tc>
                <w:tcPr>
                  <w:tcW w:w="9213" w:type="dxa"/>
                </w:tcPr>
                <w:p w14:paraId="66335218" w14:textId="77777777" w:rsidR="00F550B2" w:rsidRPr="00A37DA8" w:rsidRDefault="00F550B2" w:rsidP="00C7426A">
                  <w:pPr>
                    <w:pStyle w:val="Odsek"/>
                    <w:numPr>
                      <w:ilvl w:val="0"/>
                      <w:numId w:val="0"/>
                    </w:numPr>
                    <w:spacing w:before="0" w:after="0" w:line="260" w:lineRule="exact"/>
                    <w:jc w:val="left"/>
                    <w:rPr>
                      <w:rFonts w:cs="Arial"/>
                      <w:sz w:val="20"/>
                      <w:szCs w:val="20"/>
                      <w:lang w:val="sl-SI" w:eastAsia="sl-SI"/>
                    </w:rPr>
                  </w:pPr>
                  <w:r w:rsidRPr="00A37DA8">
                    <w:rPr>
                      <w:rFonts w:cs="Arial"/>
                      <w:sz w:val="20"/>
                      <w:szCs w:val="20"/>
                      <w:lang w:val="sl-SI" w:eastAsia="sl-SI"/>
                    </w:rPr>
                    <w:t>2.2 Načela</w:t>
                  </w:r>
                </w:p>
              </w:tc>
            </w:tr>
            <w:tr w:rsidR="00F550B2" w:rsidRPr="00A37DA8" w14:paraId="6633521C" w14:textId="77777777" w:rsidTr="00C7426A">
              <w:tc>
                <w:tcPr>
                  <w:tcW w:w="9213" w:type="dxa"/>
                </w:tcPr>
                <w:p w14:paraId="6633521A" w14:textId="77777777" w:rsidR="00F550B2" w:rsidRPr="00A37DA8" w:rsidRDefault="00F550B2" w:rsidP="00C7426A">
                  <w:pPr>
                    <w:pStyle w:val="Neotevilenodstavek"/>
                    <w:spacing w:before="0" w:after="0" w:line="260" w:lineRule="exact"/>
                    <w:rPr>
                      <w:rFonts w:cs="Arial"/>
                      <w:sz w:val="20"/>
                      <w:szCs w:val="20"/>
                      <w:lang w:val="sl-SI" w:eastAsia="sl-SI"/>
                    </w:rPr>
                  </w:pPr>
                  <w:r w:rsidRPr="00A37DA8">
                    <w:rPr>
                      <w:rFonts w:cs="Arial"/>
                      <w:sz w:val="20"/>
                      <w:szCs w:val="20"/>
                      <w:lang w:val="sl-SI" w:eastAsia="sl-SI"/>
                    </w:rPr>
                    <w:t xml:space="preserve">Predlog zakona ne odstopa od temeljnih načel, na katerih temelji osnovni zakon, in izhaja iz načela splošne davčne obveznosti. Pri vključitvi vseh učinkov prevrednotenj in prerazvrstitev je upoštevano predvsem načelo </w:t>
                  </w:r>
                  <w:r w:rsidRPr="00A37DA8">
                    <w:rPr>
                      <w:rFonts w:cs="Arial"/>
                      <w:sz w:val="20"/>
                      <w:szCs w:val="20"/>
                    </w:rPr>
                    <w:t>enake oziroma primerljive davčne obravnave davčnih zavezancev v enakem oziroma primerljivem položaju</w:t>
                  </w:r>
                  <w:r w:rsidRPr="00A37DA8">
                    <w:rPr>
                      <w:rFonts w:cs="Arial"/>
                      <w:sz w:val="20"/>
                      <w:szCs w:val="20"/>
                      <w:lang w:val="sl-SI"/>
                    </w:rPr>
                    <w:t xml:space="preserve">, torej načelo horizontalne enakosti davčnih zavezancev, </w:t>
                  </w:r>
                  <w:r w:rsidRPr="00A37DA8">
                    <w:rPr>
                      <w:rFonts w:cs="Arial"/>
                      <w:sz w:val="20"/>
                      <w:szCs w:val="20"/>
                      <w:lang w:val="sl-SI" w:eastAsia="sl-SI"/>
                    </w:rPr>
                    <w:t>načelo celovitosti oziroma  konsistentnosti.</w:t>
                  </w:r>
                </w:p>
                <w:p w14:paraId="6633521B" w14:textId="77777777" w:rsidR="00F550B2" w:rsidRPr="00A37DA8" w:rsidRDefault="00F550B2" w:rsidP="00C7426A">
                  <w:pPr>
                    <w:pStyle w:val="Neotevilenodstavek"/>
                    <w:spacing w:before="0" w:after="0" w:line="260" w:lineRule="exact"/>
                    <w:rPr>
                      <w:rFonts w:cs="Arial"/>
                      <w:sz w:val="20"/>
                      <w:szCs w:val="20"/>
                      <w:lang w:val="sl-SI" w:eastAsia="sl-SI"/>
                    </w:rPr>
                  </w:pPr>
                </w:p>
              </w:tc>
            </w:tr>
            <w:tr w:rsidR="00F550B2" w:rsidRPr="00A37DA8" w14:paraId="6633521E" w14:textId="77777777" w:rsidTr="00C7426A">
              <w:tc>
                <w:tcPr>
                  <w:tcW w:w="9213" w:type="dxa"/>
                </w:tcPr>
                <w:p w14:paraId="6633521D" w14:textId="77777777" w:rsidR="00F550B2" w:rsidRPr="00A37DA8" w:rsidRDefault="00F550B2" w:rsidP="00C7426A">
                  <w:pPr>
                    <w:pStyle w:val="Odsek"/>
                    <w:numPr>
                      <w:ilvl w:val="0"/>
                      <w:numId w:val="0"/>
                    </w:numPr>
                    <w:spacing w:before="0" w:after="0" w:line="260" w:lineRule="exact"/>
                    <w:jc w:val="left"/>
                    <w:rPr>
                      <w:rFonts w:cs="Arial"/>
                      <w:sz w:val="20"/>
                      <w:szCs w:val="20"/>
                      <w:lang w:val="sl-SI" w:eastAsia="sl-SI"/>
                    </w:rPr>
                  </w:pPr>
                  <w:r w:rsidRPr="00A37DA8">
                    <w:rPr>
                      <w:rFonts w:cs="Arial"/>
                      <w:sz w:val="20"/>
                      <w:szCs w:val="20"/>
                      <w:lang w:val="sl-SI" w:eastAsia="sl-SI"/>
                    </w:rPr>
                    <w:t>2.3 Poglavitne rešitve</w:t>
                  </w:r>
                </w:p>
              </w:tc>
            </w:tr>
            <w:tr w:rsidR="00F550B2" w:rsidRPr="00A37DA8" w14:paraId="66335226" w14:textId="77777777" w:rsidTr="00C7426A">
              <w:trPr>
                <w:trHeight w:val="434"/>
              </w:trPr>
              <w:tc>
                <w:tcPr>
                  <w:tcW w:w="9213" w:type="dxa"/>
                </w:tcPr>
                <w:p w14:paraId="6633521F" w14:textId="77777777" w:rsidR="00F550B2" w:rsidRPr="00A37DA8" w:rsidRDefault="00F550B2" w:rsidP="00C7426A">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7DA8">
                    <w:rPr>
                      <w:rFonts w:ascii="Arial" w:eastAsia="Times New Roman" w:hAnsi="Arial" w:cs="Arial"/>
                      <w:sz w:val="20"/>
                      <w:szCs w:val="20"/>
                      <w:lang w:eastAsia="sl-SI"/>
                    </w:rPr>
                    <w:t xml:space="preserve">S predlogom zakona se predlagajo znižanje normiranih odhodkov na 60 % (sprememba 67.e člena ZDDPO-2) ter vzpostavitev mehanizmov za preprečevanje zlorab. Tako se nadgrajuje določba o ugotavljanju prihodkov, ki predstavljajo zgornjo mejo za možnost ugotavljanja davčne osnove z upoštevanjem normiranih odhodkov. Predlaga se, da se kot poseben primer, poleg veljavnega primera novo ustanovljenih zavezancev, določi povezanost oseb v povezavi s postopanjem </w:t>
                  </w:r>
                  <w:r w:rsidRPr="00A37DA8">
                    <w:rPr>
                      <w:rFonts w:ascii="Arial" w:eastAsia="Times New Roman" w:hAnsi="Arial" w:cs="Arial"/>
                      <w:sz w:val="20"/>
                      <w:szCs w:val="20"/>
                      <w:lang w:eastAsia="sl-SI"/>
                    </w:rPr>
                    <w:lastRenderedPageBreak/>
                    <w:t>zavezanca, ki ni v skladu s cilji in nameni takšnega ugotavljanja davčne osnove. Določeno je, da se v primeru povezanih oseb prihodki seštevajo. Zavezanec pa vedno lahko dokazuje, da je njegov primer oziroma situacija pristna oziroma da gre za tehtne poslovne razloge (dopolnitev 67.d člena ZDDPO-2). Prenovi se pogoj za obvezen izstop iz sistema na način, da nastopi obvezen izstop iz sistema, ko zavezanec v dveh zaporednih preteklih letih dosega povprečne prihodke, ki presegajo znesek 150.000 eurov, za razliko od sedanje ureditve, ko nastopi obvezen izstop iz sistema, če zavezanec dve zaporedni davčni obdobji ne izpolnjuje pogojev za vstop v sistem (sprememba 67.c člena ZDDPO-2). Višina normiranih odhodkov se omeji tudi z absolutno višino, in sicer ti ne morejo biti višji od 30.000 eurov za zavezance s prihodki v preteklem letu do 50.000 eurov oziroma ne morejo biti višji od 60.000 eurov za zavezance s prihodki v preteklem letu do 100.000 eurov in z vsaj eno obvezno zavarovano osebo pri zavezancu v preteklem letu za polni delovni čas neprekinjeno najmanj pet mesecev (sprememba 67.e člena ZDDPO-2).</w:t>
                  </w:r>
                </w:p>
                <w:p w14:paraId="66335220" w14:textId="77777777" w:rsidR="00F550B2" w:rsidRPr="00A37DA8" w:rsidRDefault="00F550B2" w:rsidP="00C7426A">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6335221" w14:textId="77777777" w:rsidR="00F550B2" w:rsidRPr="00A37DA8" w:rsidRDefault="00F550B2" w:rsidP="00C7426A">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7DA8">
                    <w:rPr>
                      <w:rFonts w:ascii="Arial" w:eastAsia="Times New Roman" w:hAnsi="Arial" w:cs="Arial"/>
                      <w:sz w:val="20"/>
                      <w:szCs w:val="20"/>
                      <w:lang w:eastAsia="sl-SI"/>
                    </w:rPr>
                    <w:t>S predlogom zakona se predlagajo tudi ukrepi za vključitev vseh učinkov prevrednotenj in prerazvrstitev vseh finančnih instrumentov v davčno osnovo (dopolnitev ZDDPO-2 z novim 15.b členom). Predlaga se vključitev naslednjih učinkov, ki po določbah trenutno veljavne davčne zakonodaje nimajo vpliva na davčno osnovo:</w:t>
                  </w:r>
                </w:p>
                <w:p w14:paraId="66335222" w14:textId="77777777" w:rsidR="00F550B2" w:rsidRPr="00A37DA8" w:rsidRDefault="00F550B2" w:rsidP="00C7426A">
                  <w:pPr>
                    <w:tabs>
                      <w:tab w:val="left" w:pos="284"/>
                    </w:tab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7DA8">
                    <w:rPr>
                      <w:rFonts w:ascii="Arial" w:eastAsia="Times New Roman" w:hAnsi="Arial" w:cs="Arial"/>
                      <w:sz w:val="20"/>
                      <w:szCs w:val="20"/>
                      <w:lang w:eastAsia="sl-SI"/>
                    </w:rPr>
                    <w:t>1.</w:t>
                  </w:r>
                  <w:r w:rsidRPr="00A37DA8">
                    <w:rPr>
                      <w:rFonts w:ascii="Arial" w:eastAsia="Times New Roman" w:hAnsi="Arial" w:cs="Arial"/>
                      <w:sz w:val="20"/>
                      <w:szCs w:val="20"/>
                      <w:lang w:eastAsia="sl-SI"/>
                    </w:rPr>
                    <w:tab/>
                    <w:t>učinki sprememb poštene vrednosti lastniških finančnih sredstev, ki se merijo po pošteni vrednosti z učinki v drugem vseobsegajočem donosu, če se podjetje tako nepreklicno odloči ob začetnem pripoznanju in če niso v posestni za trgovanje niti pogojno nadomestilo prevzemnika v poslovni združitvi in</w:t>
                  </w:r>
                </w:p>
                <w:p w14:paraId="66335223" w14:textId="77777777" w:rsidR="00F550B2" w:rsidRPr="00A37DA8" w:rsidRDefault="00F550B2" w:rsidP="00C7426A">
                  <w:pPr>
                    <w:tabs>
                      <w:tab w:val="left" w:pos="284"/>
                    </w:tab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7DA8">
                    <w:rPr>
                      <w:rFonts w:ascii="Arial" w:eastAsia="Times New Roman" w:hAnsi="Arial" w:cs="Arial"/>
                      <w:sz w:val="20"/>
                      <w:szCs w:val="20"/>
                      <w:lang w:eastAsia="sl-SI"/>
                    </w:rPr>
                    <w:t>2.</w:t>
                  </w:r>
                  <w:r w:rsidRPr="00A37DA8">
                    <w:rPr>
                      <w:rFonts w:ascii="Arial" w:eastAsia="Times New Roman" w:hAnsi="Arial" w:cs="Arial"/>
                      <w:sz w:val="20"/>
                      <w:szCs w:val="20"/>
                      <w:lang w:eastAsia="sl-SI"/>
                    </w:rPr>
                    <w:tab/>
                    <w:t>učinki sprememb poštene vrednosti zaradi spremembe lastnega kreditnega tveganja pri finančnih obveznostih, merjenih po pošteni vrednosti preko izkaza poslovnega izida.</w:t>
                  </w:r>
                </w:p>
                <w:p w14:paraId="66335224" w14:textId="77777777" w:rsidR="00F550B2" w:rsidRPr="00A37DA8" w:rsidRDefault="00F550B2" w:rsidP="00C7426A">
                  <w:pPr>
                    <w:tabs>
                      <w:tab w:val="left" w:pos="284"/>
                    </w:tab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6335225" w14:textId="77777777" w:rsidR="00F550B2" w:rsidRPr="00A37DA8" w:rsidRDefault="00F550B2" w:rsidP="00C7426A">
                  <w:pPr>
                    <w:pStyle w:val="rkovnatokazaodstavkom"/>
                    <w:numPr>
                      <w:ilvl w:val="0"/>
                      <w:numId w:val="0"/>
                    </w:numPr>
                    <w:spacing w:line="260" w:lineRule="exact"/>
                    <w:rPr>
                      <w:rFonts w:cs="Arial"/>
                      <w:sz w:val="20"/>
                      <w:szCs w:val="20"/>
                      <w:lang w:eastAsia="sl-SI"/>
                    </w:rPr>
                  </w:pPr>
                </w:p>
              </w:tc>
            </w:tr>
            <w:tr w:rsidR="00F550B2" w:rsidRPr="00A37DA8" w14:paraId="66335228" w14:textId="77777777" w:rsidTr="00C7426A">
              <w:tc>
                <w:tcPr>
                  <w:tcW w:w="9213" w:type="dxa"/>
                </w:tcPr>
                <w:p w14:paraId="66335227" w14:textId="77777777" w:rsidR="00F550B2" w:rsidRPr="00A37DA8" w:rsidRDefault="00F550B2" w:rsidP="00C7426A">
                  <w:pPr>
                    <w:pStyle w:val="Oddelek"/>
                    <w:numPr>
                      <w:ilvl w:val="0"/>
                      <w:numId w:val="0"/>
                    </w:numPr>
                    <w:spacing w:before="0" w:after="0" w:line="260" w:lineRule="exact"/>
                    <w:jc w:val="both"/>
                    <w:rPr>
                      <w:rFonts w:cs="Arial"/>
                      <w:sz w:val="20"/>
                      <w:szCs w:val="20"/>
                      <w:lang w:val="sl-SI" w:eastAsia="sl-SI"/>
                    </w:rPr>
                  </w:pPr>
                  <w:r w:rsidRPr="00A37DA8">
                    <w:rPr>
                      <w:rFonts w:cs="Arial"/>
                      <w:sz w:val="20"/>
                      <w:szCs w:val="20"/>
                      <w:lang w:val="sl-SI" w:eastAsia="sl-SI"/>
                    </w:rPr>
                    <w:lastRenderedPageBreak/>
                    <w:t>3. OCENA FINANČNIH POSLEDIC PREDLOGA ZAKONA ZA DRŽAVNI PRORAČUN IN DRUGA JAVNA FINANČNA SREDSTVA</w:t>
                  </w:r>
                </w:p>
              </w:tc>
            </w:tr>
            <w:tr w:rsidR="00F550B2" w:rsidRPr="00A37DA8" w14:paraId="66335233" w14:textId="77777777" w:rsidTr="00C7426A">
              <w:tc>
                <w:tcPr>
                  <w:tcW w:w="9213" w:type="dxa"/>
                </w:tcPr>
                <w:p w14:paraId="66335229" w14:textId="77777777" w:rsidR="00F550B2" w:rsidRPr="00A37DA8" w:rsidRDefault="00F550B2" w:rsidP="00C7426A">
                  <w:pPr>
                    <w:pStyle w:val="Alineazaodstavkom"/>
                    <w:numPr>
                      <w:ilvl w:val="0"/>
                      <w:numId w:val="0"/>
                    </w:numPr>
                    <w:spacing w:line="260" w:lineRule="exact"/>
                    <w:rPr>
                      <w:rFonts w:cs="Arial"/>
                      <w:color w:val="A6A6A6"/>
                      <w:sz w:val="20"/>
                      <w:szCs w:val="20"/>
                      <w:lang w:val="sl-SI" w:eastAsia="sl-SI"/>
                    </w:rPr>
                  </w:pPr>
                </w:p>
                <w:p w14:paraId="6633522A" w14:textId="77777777" w:rsidR="00F550B2" w:rsidRPr="00A37DA8" w:rsidRDefault="00F550B2" w:rsidP="00C7426A">
                  <w:pPr>
                    <w:pStyle w:val="Alineazaodstavkom"/>
                    <w:numPr>
                      <w:ilvl w:val="0"/>
                      <w:numId w:val="0"/>
                    </w:numPr>
                    <w:spacing w:line="260" w:lineRule="exact"/>
                    <w:rPr>
                      <w:rFonts w:cs="Arial"/>
                      <w:sz w:val="20"/>
                      <w:szCs w:val="20"/>
                      <w:lang w:val="sl-SI" w:eastAsia="sl-SI"/>
                    </w:rPr>
                  </w:pPr>
                  <w:r w:rsidRPr="00A37DA8">
                    <w:rPr>
                      <w:rFonts w:cs="Arial"/>
                      <w:sz w:val="20"/>
                      <w:szCs w:val="20"/>
                      <w:lang w:val="sl-SI" w:eastAsia="sl-SI"/>
                    </w:rPr>
                    <w:t>3.1</w:t>
                  </w:r>
                </w:p>
                <w:p w14:paraId="6633522B" w14:textId="77777777" w:rsidR="00F550B2" w:rsidRPr="00A37DA8" w:rsidRDefault="00F550B2" w:rsidP="00C7426A">
                  <w:pPr>
                    <w:pStyle w:val="Alineazaodstavkom"/>
                    <w:numPr>
                      <w:ilvl w:val="0"/>
                      <w:numId w:val="0"/>
                    </w:numPr>
                    <w:spacing w:line="260" w:lineRule="exact"/>
                    <w:rPr>
                      <w:rFonts w:cs="Arial"/>
                      <w:sz w:val="20"/>
                      <w:szCs w:val="20"/>
                      <w:lang w:eastAsia="sl-SI"/>
                    </w:rPr>
                  </w:pPr>
                  <w:r w:rsidRPr="00A37DA8">
                    <w:rPr>
                      <w:rFonts w:cs="Arial"/>
                      <w:sz w:val="20"/>
                      <w:szCs w:val="20"/>
                      <w:lang w:eastAsia="sl-SI"/>
                    </w:rPr>
                    <w:t xml:space="preserve">Iz obračunskih podatkov davka od dohodkov pravnih oseb, ki so jih zavezanci predložili Finančni upravi RS v letu 2016, izhaja, da je 1.044 zavezancev ugotavljalo davčno osnovo na podlagi normiranih odhodkov. Njihova davčna obveznost je znašala 1,3 mio </w:t>
                  </w:r>
                  <w:proofErr w:type="spellStart"/>
                  <w:r w:rsidRPr="00A37DA8">
                    <w:rPr>
                      <w:rFonts w:cs="Arial"/>
                      <w:sz w:val="20"/>
                      <w:szCs w:val="20"/>
                      <w:lang w:eastAsia="sl-SI"/>
                    </w:rPr>
                    <w:t>e</w:t>
                  </w:r>
                  <w:r w:rsidRPr="00A37DA8">
                    <w:rPr>
                      <w:rFonts w:cs="Arial"/>
                      <w:sz w:val="20"/>
                      <w:szCs w:val="20"/>
                      <w:lang w:val="sl-SI" w:eastAsia="sl-SI"/>
                    </w:rPr>
                    <w:t>u</w:t>
                  </w:r>
                  <w:proofErr w:type="spellEnd"/>
                  <w:r w:rsidRPr="00A37DA8">
                    <w:rPr>
                      <w:rFonts w:cs="Arial"/>
                      <w:sz w:val="20"/>
                      <w:szCs w:val="20"/>
                      <w:lang w:eastAsia="sl-SI"/>
                    </w:rPr>
                    <w:t>rov, ob upoštevanju 19</w:t>
                  </w:r>
                  <w:r w:rsidRPr="00A37DA8">
                    <w:rPr>
                      <w:rFonts w:cs="Arial"/>
                      <w:sz w:val="20"/>
                      <w:szCs w:val="20"/>
                      <w:lang w:val="sl-SI" w:eastAsia="sl-SI"/>
                    </w:rPr>
                    <w:t>-odstotne</w:t>
                  </w:r>
                  <w:r w:rsidRPr="00A37DA8">
                    <w:rPr>
                      <w:rFonts w:cs="Arial"/>
                      <w:sz w:val="20"/>
                      <w:szCs w:val="20"/>
                      <w:lang w:eastAsia="sl-SI"/>
                    </w:rPr>
                    <w:t xml:space="preserve"> davčne stopnje, ki velja v letu 2017</w:t>
                  </w:r>
                  <w:r w:rsidRPr="00A37DA8">
                    <w:rPr>
                      <w:rFonts w:cs="Arial"/>
                      <w:sz w:val="20"/>
                      <w:szCs w:val="20"/>
                      <w:lang w:val="sl-SI" w:eastAsia="sl-SI"/>
                    </w:rPr>
                    <w:t>,</w:t>
                  </w:r>
                  <w:r w:rsidRPr="00A37DA8">
                    <w:rPr>
                      <w:rFonts w:cs="Arial"/>
                      <w:sz w:val="20"/>
                      <w:szCs w:val="20"/>
                      <w:lang w:eastAsia="sl-SI"/>
                    </w:rPr>
                    <w:t xml:space="preserve"> pa bi bila 1,5 mio </w:t>
                  </w:r>
                  <w:proofErr w:type="spellStart"/>
                  <w:r w:rsidRPr="00A37DA8">
                    <w:rPr>
                      <w:rFonts w:cs="Arial"/>
                      <w:sz w:val="20"/>
                      <w:szCs w:val="20"/>
                      <w:lang w:eastAsia="sl-SI"/>
                    </w:rPr>
                    <w:t>e</w:t>
                  </w:r>
                  <w:r w:rsidRPr="00A37DA8">
                    <w:rPr>
                      <w:rFonts w:cs="Arial"/>
                      <w:sz w:val="20"/>
                      <w:szCs w:val="20"/>
                      <w:lang w:val="sl-SI" w:eastAsia="sl-SI"/>
                    </w:rPr>
                    <w:t>u</w:t>
                  </w:r>
                  <w:proofErr w:type="spellEnd"/>
                  <w:r w:rsidRPr="00A37DA8">
                    <w:rPr>
                      <w:rFonts w:cs="Arial"/>
                      <w:sz w:val="20"/>
                      <w:szCs w:val="20"/>
                      <w:lang w:eastAsia="sl-SI"/>
                    </w:rPr>
                    <w:t xml:space="preserve">rov. Simulacija </w:t>
                  </w:r>
                  <w:r w:rsidRPr="00A37DA8">
                    <w:rPr>
                      <w:rFonts w:cs="Arial"/>
                      <w:sz w:val="20"/>
                      <w:szCs w:val="20"/>
                      <w:lang w:val="sl-SI" w:eastAsia="sl-SI"/>
                    </w:rPr>
                    <w:t xml:space="preserve">predlagane </w:t>
                  </w:r>
                  <w:r w:rsidRPr="00A37DA8">
                    <w:rPr>
                      <w:rFonts w:cs="Arial"/>
                      <w:sz w:val="20"/>
                      <w:szCs w:val="20"/>
                      <w:lang w:eastAsia="sl-SI"/>
                    </w:rPr>
                    <w:t>rešitve znižanja normiranih odhodkov na 60 %</w:t>
                  </w:r>
                  <w:r w:rsidRPr="00A37DA8">
                    <w:rPr>
                      <w:rFonts w:cs="Arial"/>
                      <w:sz w:val="20"/>
                      <w:szCs w:val="20"/>
                      <w:lang w:val="sl-SI" w:eastAsia="sl-SI"/>
                    </w:rPr>
                    <w:t>,</w:t>
                  </w:r>
                  <w:r w:rsidRPr="00A37DA8">
                    <w:rPr>
                      <w:rFonts w:cs="Arial"/>
                      <w:sz w:val="20"/>
                      <w:szCs w:val="20"/>
                      <w:lang w:eastAsia="sl-SI"/>
                    </w:rPr>
                    <w:t xml:space="preserve"> ob sočasni vzpostavitvi mehanizmov za preprečevanje zlorab</w:t>
                  </w:r>
                  <w:r w:rsidRPr="00A37DA8">
                    <w:rPr>
                      <w:rFonts w:cs="Arial"/>
                      <w:sz w:val="20"/>
                      <w:szCs w:val="20"/>
                      <w:lang w:val="sl-SI" w:eastAsia="sl-SI"/>
                    </w:rPr>
                    <w:t>,</w:t>
                  </w:r>
                  <w:r w:rsidRPr="00A37DA8">
                    <w:rPr>
                      <w:rFonts w:cs="Arial"/>
                      <w:sz w:val="20"/>
                      <w:szCs w:val="20"/>
                      <w:lang w:eastAsia="sl-SI"/>
                    </w:rPr>
                    <w:t xml:space="preserve"> </w:t>
                  </w:r>
                  <w:r w:rsidRPr="00A37DA8">
                    <w:rPr>
                      <w:rFonts w:cs="Arial"/>
                      <w:sz w:val="20"/>
                      <w:szCs w:val="20"/>
                      <w:lang w:val="sl-SI" w:eastAsia="sl-SI"/>
                    </w:rPr>
                    <w:t>je ob</w:t>
                  </w:r>
                  <w:r w:rsidRPr="00A37DA8">
                    <w:rPr>
                      <w:rFonts w:cs="Arial"/>
                      <w:sz w:val="20"/>
                      <w:szCs w:val="20"/>
                      <w:lang w:eastAsia="sl-SI"/>
                    </w:rPr>
                    <w:t xml:space="preserve"> predpostavki, da bodo vsi zavezanci ostali v sistemu normiranih odhodkov, </w:t>
                  </w:r>
                  <w:r w:rsidRPr="00A37DA8">
                    <w:rPr>
                      <w:rFonts w:cs="Arial"/>
                      <w:sz w:val="20"/>
                      <w:szCs w:val="20"/>
                      <w:lang w:val="sl-SI" w:eastAsia="sl-SI"/>
                    </w:rPr>
                    <w:t xml:space="preserve">pokazala, da bi bila </w:t>
                  </w:r>
                  <w:r w:rsidRPr="00A37DA8">
                    <w:rPr>
                      <w:rFonts w:cs="Arial"/>
                      <w:sz w:val="20"/>
                      <w:szCs w:val="20"/>
                      <w:lang w:eastAsia="sl-SI"/>
                    </w:rPr>
                    <w:t xml:space="preserve">davčna obveznost višja za 2,2 mio </w:t>
                  </w:r>
                  <w:proofErr w:type="spellStart"/>
                  <w:r w:rsidRPr="00A37DA8">
                    <w:rPr>
                      <w:rFonts w:cs="Arial"/>
                      <w:sz w:val="20"/>
                      <w:szCs w:val="20"/>
                      <w:lang w:eastAsia="sl-SI"/>
                    </w:rPr>
                    <w:t>e</w:t>
                  </w:r>
                  <w:r w:rsidRPr="00A37DA8">
                    <w:rPr>
                      <w:rFonts w:cs="Arial"/>
                      <w:sz w:val="20"/>
                      <w:szCs w:val="20"/>
                      <w:lang w:val="sl-SI" w:eastAsia="sl-SI"/>
                    </w:rPr>
                    <w:t>u</w:t>
                  </w:r>
                  <w:proofErr w:type="spellEnd"/>
                  <w:r w:rsidRPr="00A37DA8">
                    <w:rPr>
                      <w:rFonts w:cs="Arial"/>
                      <w:sz w:val="20"/>
                      <w:szCs w:val="20"/>
                      <w:lang w:eastAsia="sl-SI"/>
                    </w:rPr>
                    <w:t>rov.</w:t>
                  </w:r>
                </w:p>
                <w:p w14:paraId="6633522C" w14:textId="77777777" w:rsidR="00F550B2" w:rsidRPr="00A37DA8" w:rsidRDefault="00F550B2" w:rsidP="00C7426A">
                  <w:pPr>
                    <w:pStyle w:val="Alineazaodstavkom"/>
                    <w:numPr>
                      <w:ilvl w:val="0"/>
                      <w:numId w:val="0"/>
                    </w:numPr>
                    <w:spacing w:line="260" w:lineRule="exact"/>
                    <w:rPr>
                      <w:rFonts w:cs="Arial"/>
                      <w:sz w:val="20"/>
                      <w:szCs w:val="20"/>
                      <w:lang w:eastAsia="sl-SI"/>
                    </w:rPr>
                  </w:pPr>
                </w:p>
                <w:p w14:paraId="6633522D" w14:textId="77777777" w:rsidR="00F550B2" w:rsidRPr="00A37DA8" w:rsidRDefault="00F550B2" w:rsidP="00C7426A">
                  <w:pPr>
                    <w:pStyle w:val="Alineazaodstavkom"/>
                    <w:numPr>
                      <w:ilvl w:val="0"/>
                      <w:numId w:val="0"/>
                    </w:numPr>
                    <w:spacing w:line="260" w:lineRule="exact"/>
                    <w:rPr>
                      <w:rFonts w:cs="Arial"/>
                      <w:sz w:val="20"/>
                      <w:szCs w:val="20"/>
                      <w:lang w:eastAsia="sl-SI"/>
                    </w:rPr>
                  </w:pPr>
                  <w:r w:rsidRPr="00A37DA8">
                    <w:rPr>
                      <w:rFonts w:cs="Arial"/>
                      <w:sz w:val="20"/>
                      <w:szCs w:val="20"/>
                      <w:lang w:eastAsia="sl-SI"/>
                    </w:rPr>
                    <w:t>Ocenjujemo, da bo del zavezancev zaradi znižanja odstotka normiranih odhodkov na 60 % in tudi zaradi vzpostavitve mehanizmov za preprečevanje zlorab izstopil iz sistema</w:t>
                  </w:r>
                  <w:r w:rsidRPr="00A37DA8">
                    <w:rPr>
                      <w:rFonts w:cs="Arial"/>
                      <w:sz w:val="20"/>
                      <w:szCs w:val="20"/>
                      <w:lang w:val="sl-SI" w:eastAsia="sl-SI"/>
                    </w:rPr>
                    <w:t xml:space="preserve">, kot tudi, da se </w:t>
                  </w:r>
                  <w:r w:rsidRPr="00A37DA8">
                    <w:rPr>
                      <w:rFonts w:cs="Arial"/>
                      <w:sz w:val="20"/>
                      <w:szCs w:val="20"/>
                      <w:lang w:eastAsia="sl-SI"/>
                    </w:rPr>
                    <w:t xml:space="preserve">bo v sistem vključilo manj novih zavezancev. Na podlagi obračunskih podatkov in </w:t>
                  </w:r>
                  <w:r w:rsidRPr="00A37DA8">
                    <w:rPr>
                      <w:rFonts w:cs="Arial"/>
                      <w:sz w:val="20"/>
                      <w:szCs w:val="20"/>
                      <w:lang w:val="sl-SI" w:eastAsia="sl-SI"/>
                    </w:rPr>
                    <w:t xml:space="preserve">ob </w:t>
                  </w:r>
                  <w:r w:rsidRPr="00A37DA8">
                    <w:rPr>
                      <w:rFonts w:cs="Arial"/>
                      <w:sz w:val="20"/>
                      <w:szCs w:val="20"/>
                      <w:lang w:eastAsia="sl-SI"/>
                    </w:rPr>
                    <w:t xml:space="preserve">upoštevanju vseh omenjenih predpostavk ter omejitev ocenjujemo, da bodo prihodki iz naslova davka od dohodkov pravnih oseb višji za okoli 1 mio </w:t>
                  </w:r>
                  <w:proofErr w:type="spellStart"/>
                  <w:r w:rsidRPr="00A37DA8">
                    <w:rPr>
                      <w:rFonts w:cs="Arial"/>
                      <w:sz w:val="20"/>
                      <w:szCs w:val="20"/>
                      <w:lang w:eastAsia="sl-SI"/>
                    </w:rPr>
                    <w:t>e</w:t>
                  </w:r>
                  <w:r w:rsidRPr="00A37DA8">
                    <w:rPr>
                      <w:rFonts w:cs="Arial"/>
                      <w:sz w:val="20"/>
                      <w:szCs w:val="20"/>
                      <w:lang w:val="sl-SI" w:eastAsia="sl-SI"/>
                    </w:rPr>
                    <w:t>u</w:t>
                  </w:r>
                  <w:proofErr w:type="spellEnd"/>
                  <w:r w:rsidRPr="00A37DA8">
                    <w:rPr>
                      <w:rFonts w:cs="Arial"/>
                      <w:sz w:val="20"/>
                      <w:szCs w:val="20"/>
                      <w:lang w:eastAsia="sl-SI"/>
                    </w:rPr>
                    <w:t>rov</w:t>
                  </w:r>
                  <w:r w:rsidRPr="00A37DA8">
                    <w:rPr>
                      <w:rFonts w:cs="Arial"/>
                      <w:sz w:val="20"/>
                      <w:szCs w:val="20"/>
                      <w:lang w:val="sl-SI" w:eastAsia="sl-SI"/>
                    </w:rPr>
                    <w:t xml:space="preserve"> letno</w:t>
                  </w:r>
                  <w:r w:rsidRPr="00A37DA8">
                    <w:rPr>
                      <w:rFonts w:cs="Arial"/>
                      <w:sz w:val="20"/>
                      <w:szCs w:val="20"/>
                      <w:lang w:eastAsia="sl-SI"/>
                    </w:rPr>
                    <w:t>. Zaradi načina pobiranja davka preko akontacij za tekoče leto in naknadnega por</w:t>
                  </w:r>
                  <w:r w:rsidRPr="00A37DA8">
                    <w:rPr>
                      <w:rFonts w:cs="Arial"/>
                      <w:sz w:val="20"/>
                      <w:szCs w:val="20"/>
                      <w:lang w:val="sl-SI" w:eastAsia="sl-SI"/>
                    </w:rPr>
                    <w:t>a</w:t>
                  </w:r>
                  <w:proofErr w:type="spellStart"/>
                  <w:r w:rsidRPr="00A37DA8">
                    <w:rPr>
                      <w:rFonts w:cs="Arial"/>
                      <w:sz w:val="20"/>
                      <w:szCs w:val="20"/>
                      <w:lang w:eastAsia="sl-SI"/>
                    </w:rPr>
                    <w:t>čuna</w:t>
                  </w:r>
                  <w:proofErr w:type="spellEnd"/>
                  <w:r w:rsidRPr="00A37DA8">
                    <w:rPr>
                      <w:rFonts w:cs="Arial"/>
                      <w:sz w:val="20"/>
                      <w:szCs w:val="20"/>
                      <w:lang w:eastAsia="sl-SI"/>
                    </w:rPr>
                    <w:t xml:space="preserve"> davka po koncu poslovnega leta, se bo finančni učinek v prihodkih državnega proračuna iz naslova DDPO</w:t>
                  </w:r>
                  <w:r w:rsidRPr="00A37DA8">
                    <w:rPr>
                      <w:rFonts w:cs="Arial"/>
                      <w:sz w:val="20"/>
                      <w:szCs w:val="20"/>
                      <w:lang w:val="sl-SI" w:eastAsia="sl-SI"/>
                    </w:rPr>
                    <w:t>,</w:t>
                  </w:r>
                  <w:r w:rsidRPr="00A37DA8">
                    <w:rPr>
                      <w:rFonts w:cs="Arial"/>
                      <w:sz w:val="20"/>
                      <w:szCs w:val="20"/>
                      <w:lang w:eastAsia="sl-SI"/>
                    </w:rPr>
                    <w:t xml:space="preserve"> merjen po denarnem toku</w:t>
                  </w:r>
                  <w:r w:rsidRPr="00A37DA8">
                    <w:rPr>
                      <w:rFonts w:cs="Arial"/>
                      <w:sz w:val="20"/>
                      <w:szCs w:val="20"/>
                      <w:lang w:val="sl-SI" w:eastAsia="sl-SI"/>
                    </w:rPr>
                    <w:t>,</w:t>
                  </w:r>
                  <w:r w:rsidRPr="00A37DA8">
                    <w:rPr>
                      <w:rFonts w:cs="Arial"/>
                      <w:sz w:val="20"/>
                      <w:szCs w:val="20"/>
                      <w:lang w:eastAsia="sl-SI"/>
                    </w:rPr>
                    <w:t xml:space="preserve"> izrazil z enoletnim zamikom - v letu 2019. V tem letu bo</w:t>
                  </w:r>
                  <w:r w:rsidRPr="00A37DA8">
                    <w:rPr>
                      <w:rFonts w:cs="Arial"/>
                      <w:sz w:val="20"/>
                      <w:szCs w:val="20"/>
                      <w:lang w:val="sl-SI" w:eastAsia="sl-SI"/>
                    </w:rPr>
                    <w:t xml:space="preserve">do prihodki zaradi višjih doplačil za </w:t>
                  </w:r>
                  <w:proofErr w:type="spellStart"/>
                  <w:r w:rsidRPr="00A37DA8">
                    <w:rPr>
                      <w:rFonts w:cs="Arial"/>
                      <w:sz w:val="20"/>
                      <w:szCs w:val="20"/>
                      <w:lang w:val="sl-SI" w:eastAsia="sl-SI"/>
                    </w:rPr>
                    <w:t>predhodnje</w:t>
                  </w:r>
                  <w:proofErr w:type="spellEnd"/>
                  <w:r w:rsidRPr="00A37DA8">
                    <w:rPr>
                      <w:rFonts w:cs="Arial"/>
                      <w:sz w:val="20"/>
                      <w:szCs w:val="20"/>
                      <w:lang w:val="sl-SI" w:eastAsia="sl-SI"/>
                    </w:rPr>
                    <w:t xml:space="preserve"> leto in višjih akontacij za tekoče leto višji za 1,9 mio eurov</w:t>
                  </w:r>
                  <w:r w:rsidRPr="00A37DA8">
                    <w:rPr>
                      <w:rFonts w:cs="Arial"/>
                      <w:sz w:val="20"/>
                      <w:szCs w:val="20"/>
                      <w:lang w:eastAsia="sl-SI"/>
                    </w:rPr>
                    <w:t>.</w:t>
                  </w:r>
                </w:p>
                <w:p w14:paraId="6633522E" w14:textId="77777777" w:rsidR="00F550B2" w:rsidRPr="00A37DA8" w:rsidRDefault="00F550B2" w:rsidP="00C7426A">
                  <w:pPr>
                    <w:pStyle w:val="Alineazaodstavkom"/>
                    <w:numPr>
                      <w:ilvl w:val="0"/>
                      <w:numId w:val="0"/>
                    </w:numPr>
                    <w:spacing w:line="260" w:lineRule="exact"/>
                    <w:rPr>
                      <w:rFonts w:cs="Arial"/>
                      <w:sz w:val="20"/>
                      <w:szCs w:val="20"/>
                      <w:highlight w:val="green"/>
                      <w:lang w:val="sl-SI" w:eastAsia="sl-SI"/>
                    </w:rPr>
                  </w:pPr>
                </w:p>
                <w:p w14:paraId="6633522F" w14:textId="77777777" w:rsidR="00F550B2" w:rsidRPr="00A37DA8" w:rsidRDefault="00F550B2" w:rsidP="00C7426A">
                  <w:pPr>
                    <w:pStyle w:val="Alineazaodstavkom"/>
                    <w:numPr>
                      <w:ilvl w:val="0"/>
                      <w:numId w:val="0"/>
                    </w:numPr>
                    <w:spacing w:line="260" w:lineRule="exact"/>
                    <w:rPr>
                      <w:rFonts w:cs="Arial"/>
                      <w:sz w:val="20"/>
                      <w:szCs w:val="20"/>
                      <w:lang w:val="sl-SI" w:eastAsia="sl-SI"/>
                    </w:rPr>
                  </w:pPr>
                  <w:r w:rsidRPr="00A37DA8">
                    <w:rPr>
                      <w:rFonts w:cs="Arial"/>
                      <w:sz w:val="20"/>
                      <w:szCs w:val="20"/>
                      <w:lang w:val="sl-SI" w:eastAsia="sl-SI"/>
                    </w:rPr>
                    <w:t>3.2</w:t>
                  </w:r>
                </w:p>
                <w:p w14:paraId="66335230" w14:textId="77777777" w:rsidR="00F550B2" w:rsidRPr="00A37DA8" w:rsidRDefault="00F550B2" w:rsidP="00C7426A">
                  <w:pPr>
                    <w:pStyle w:val="Alineazaodstavkom"/>
                    <w:numPr>
                      <w:ilvl w:val="0"/>
                      <w:numId w:val="0"/>
                    </w:numPr>
                    <w:spacing w:line="260" w:lineRule="exact"/>
                    <w:rPr>
                      <w:rFonts w:cs="Arial"/>
                      <w:sz w:val="20"/>
                      <w:szCs w:val="20"/>
                      <w:lang w:val="sl-SI" w:eastAsia="sl-SI"/>
                    </w:rPr>
                  </w:pPr>
                  <w:r w:rsidRPr="00A37DA8">
                    <w:rPr>
                      <w:rFonts w:cs="Arial"/>
                      <w:sz w:val="20"/>
                      <w:szCs w:val="20"/>
                      <w:lang w:val="sl-SI" w:eastAsia="sl-SI"/>
                    </w:rPr>
                    <w:t>Obravnavane posledice MSRP 9 so v praksi značilne predvsem za bančni sektor, kjer je znesek lastniških vrednostnih papirjev, ki se vrednotijo po pošteni vrednosti preko drugega vseobsegajočega donosa, in finančnih obveznosti po pošteni vrednosti preko izkaza poslovnega izida glede na znesek vseh finančnih instrumentov relativno majhen, relevantni učinki pa posledično (</w:t>
                  </w:r>
                  <w:proofErr w:type="spellStart"/>
                  <w:r w:rsidRPr="00A37DA8">
                    <w:rPr>
                      <w:rFonts w:cs="Arial"/>
                      <w:sz w:val="20"/>
                      <w:szCs w:val="20"/>
                      <w:lang w:val="sl-SI" w:eastAsia="sl-SI"/>
                    </w:rPr>
                    <w:t>zneskovno</w:t>
                  </w:r>
                  <w:proofErr w:type="spellEnd"/>
                  <w:r w:rsidRPr="00A37DA8">
                    <w:rPr>
                      <w:rFonts w:cs="Arial"/>
                      <w:sz w:val="20"/>
                      <w:szCs w:val="20"/>
                      <w:lang w:val="sl-SI" w:eastAsia="sl-SI"/>
                    </w:rPr>
                    <w:t xml:space="preserve">) nepomembni. Iz preliminarnih ocen za bančni sektor izhaja, da bodo za </w:t>
                  </w:r>
                  <w:r w:rsidRPr="00A37DA8">
                    <w:rPr>
                      <w:rFonts w:cs="Arial"/>
                      <w:sz w:val="20"/>
                      <w:szCs w:val="20"/>
                      <w:lang w:val="sl-SI" w:eastAsia="sl-SI"/>
                    </w:rPr>
                    <w:lastRenderedPageBreak/>
                    <w:t xml:space="preserve">lastniške vrednostne papirje iz skupine finančnih sredstev, razpoložljivih za prodajo, neto učinki iz prevrednotenj in oslabitev minimalni, za finančne obveznosti pa relevantni učinki v praksi trenutno ne nastajajo. S predlagano dopolnitvijo zakona bodo učinki zaradi spremembe računovodskih standardov v celoti nevtralizirani, zato ocenjujemo, da predlog zakona ne bo imel finančnih posledic za državni proračun in druga javna finančna sredstva. </w:t>
                  </w:r>
                </w:p>
                <w:p w14:paraId="66335231" w14:textId="77777777" w:rsidR="00F550B2" w:rsidRDefault="00F550B2" w:rsidP="00C7426A">
                  <w:pPr>
                    <w:autoSpaceDE w:val="0"/>
                    <w:autoSpaceDN w:val="0"/>
                    <w:adjustRightInd w:val="0"/>
                    <w:spacing w:after="0" w:line="260" w:lineRule="exact"/>
                    <w:jc w:val="both"/>
                    <w:rPr>
                      <w:rFonts w:ascii="Arial" w:hAnsi="Arial" w:cs="Arial"/>
                      <w:color w:val="A6A6A6"/>
                      <w:sz w:val="20"/>
                      <w:szCs w:val="20"/>
                      <w:lang w:eastAsia="sl-SI"/>
                    </w:rPr>
                  </w:pPr>
                </w:p>
                <w:p w14:paraId="66335232" w14:textId="77777777" w:rsidR="00967508" w:rsidRPr="00A37DA8" w:rsidRDefault="00967508" w:rsidP="00C7426A">
                  <w:pPr>
                    <w:autoSpaceDE w:val="0"/>
                    <w:autoSpaceDN w:val="0"/>
                    <w:adjustRightInd w:val="0"/>
                    <w:spacing w:after="0" w:line="260" w:lineRule="exact"/>
                    <w:jc w:val="both"/>
                    <w:rPr>
                      <w:rFonts w:ascii="Arial" w:hAnsi="Arial" w:cs="Arial"/>
                      <w:color w:val="A6A6A6"/>
                      <w:sz w:val="20"/>
                      <w:szCs w:val="20"/>
                      <w:lang w:eastAsia="sl-SI"/>
                    </w:rPr>
                  </w:pPr>
                </w:p>
              </w:tc>
            </w:tr>
            <w:tr w:rsidR="00F550B2" w:rsidRPr="00A37DA8" w14:paraId="66335235" w14:textId="77777777" w:rsidTr="00C7426A">
              <w:tc>
                <w:tcPr>
                  <w:tcW w:w="9213" w:type="dxa"/>
                </w:tcPr>
                <w:p w14:paraId="66335234" w14:textId="77777777" w:rsidR="00F550B2" w:rsidRPr="00A37DA8" w:rsidRDefault="00F550B2" w:rsidP="00C7426A">
                  <w:pPr>
                    <w:pStyle w:val="Oddelek"/>
                    <w:numPr>
                      <w:ilvl w:val="0"/>
                      <w:numId w:val="0"/>
                    </w:numPr>
                    <w:spacing w:before="0" w:after="0" w:line="260" w:lineRule="exact"/>
                    <w:jc w:val="both"/>
                    <w:rPr>
                      <w:rFonts w:cs="Arial"/>
                      <w:sz w:val="20"/>
                      <w:szCs w:val="20"/>
                      <w:lang w:val="sl-SI" w:eastAsia="sl-SI"/>
                    </w:rPr>
                  </w:pPr>
                  <w:r w:rsidRPr="00A37DA8">
                    <w:rPr>
                      <w:rFonts w:cs="Arial"/>
                      <w:sz w:val="20"/>
                      <w:szCs w:val="20"/>
                      <w:lang w:val="sl-SI" w:eastAsia="sl-SI"/>
                    </w:rPr>
                    <w:lastRenderedPageBreak/>
                    <w:t>4. NAVEDBA, DA SO SREDSTVA ZA IZVAJANJE ZAKONA V DRŽAVNEM PRORAČUNU ZAGOTOVLJENA, ČE PREDLOG ZAKONA PREDVIDEVA PORABO PRORAČUNSKIH SREDSTEV V OBDOBJU, ZA KATERO JE BIL DRŽAVNI PRORAČUN ŽE SPREJET</w:t>
                  </w:r>
                </w:p>
              </w:tc>
            </w:tr>
            <w:tr w:rsidR="00F550B2" w:rsidRPr="00A37DA8" w14:paraId="6633523A" w14:textId="77777777" w:rsidTr="00C7426A">
              <w:tc>
                <w:tcPr>
                  <w:tcW w:w="9213" w:type="dxa"/>
                </w:tcPr>
                <w:p w14:paraId="66335236" w14:textId="77777777" w:rsidR="00F550B2" w:rsidRPr="00A37DA8" w:rsidRDefault="00F550B2" w:rsidP="00C7426A">
                  <w:pPr>
                    <w:pStyle w:val="Alineazaodstavkom"/>
                    <w:numPr>
                      <w:ilvl w:val="0"/>
                      <w:numId w:val="0"/>
                    </w:numPr>
                    <w:spacing w:line="260" w:lineRule="exact"/>
                    <w:rPr>
                      <w:rFonts w:cs="Arial"/>
                      <w:color w:val="A6A6A6"/>
                      <w:sz w:val="20"/>
                      <w:szCs w:val="20"/>
                      <w:lang w:val="sl-SI" w:eastAsia="sl-SI"/>
                    </w:rPr>
                  </w:pPr>
                </w:p>
                <w:p w14:paraId="66335237" w14:textId="77777777" w:rsidR="00F550B2" w:rsidRPr="00A37DA8" w:rsidRDefault="00F550B2" w:rsidP="00C7426A">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7DA8">
                    <w:rPr>
                      <w:rFonts w:ascii="Arial" w:eastAsia="Times New Roman" w:hAnsi="Arial" w:cs="Arial"/>
                      <w:sz w:val="20"/>
                      <w:szCs w:val="20"/>
                      <w:lang w:eastAsia="sl-SI"/>
                    </w:rPr>
                    <w:t>Za izvajanje zakona ne bodo potrebna dodatna proračunska sredstva.</w:t>
                  </w:r>
                  <w:r w:rsidRPr="00A37DA8">
                    <w:rPr>
                      <w:rFonts w:ascii="Arial" w:eastAsia="Times New Roman" w:hAnsi="Arial" w:cs="Arial"/>
                      <w:sz w:val="20"/>
                      <w:szCs w:val="20"/>
                      <w:lang w:eastAsia="sl-SI"/>
                    </w:rPr>
                    <w:tab/>
                  </w:r>
                </w:p>
                <w:p w14:paraId="66335238" w14:textId="77777777" w:rsidR="00F550B2" w:rsidRPr="00A37DA8" w:rsidRDefault="00F550B2" w:rsidP="00C7426A">
                  <w:pPr>
                    <w:pStyle w:val="Alineazaodstavkom"/>
                    <w:numPr>
                      <w:ilvl w:val="0"/>
                      <w:numId w:val="0"/>
                    </w:numPr>
                    <w:spacing w:line="260" w:lineRule="exact"/>
                    <w:rPr>
                      <w:rFonts w:cs="Arial"/>
                      <w:color w:val="A6A6A6"/>
                      <w:sz w:val="20"/>
                      <w:szCs w:val="20"/>
                      <w:lang w:val="sl-SI" w:eastAsia="sl-SI"/>
                    </w:rPr>
                  </w:pPr>
                </w:p>
                <w:p w14:paraId="66335239" w14:textId="77777777" w:rsidR="00F550B2" w:rsidRPr="00A37DA8" w:rsidRDefault="00F550B2" w:rsidP="00C7426A">
                  <w:pPr>
                    <w:pStyle w:val="Alineazaodstavkom"/>
                    <w:numPr>
                      <w:ilvl w:val="0"/>
                      <w:numId w:val="0"/>
                    </w:numPr>
                    <w:spacing w:line="260" w:lineRule="exact"/>
                    <w:ind w:left="709"/>
                    <w:rPr>
                      <w:rFonts w:cs="Arial"/>
                      <w:color w:val="A6A6A6"/>
                      <w:sz w:val="20"/>
                      <w:szCs w:val="20"/>
                      <w:lang w:val="sl-SI" w:eastAsia="sl-SI"/>
                    </w:rPr>
                  </w:pPr>
                </w:p>
              </w:tc>
            </w:tr>
            <w:tr w:rsidR="00F550B2" w:rsidRPr="00A37DA8" w14:paraId="66335240" w14:textId="77777777" w:rsidTr="00C7426A">
              <w:tc>
                <w:tcPr>
                  <w:tcW w:w="9213" w:type="dxa"/>
                </w:tcPr>
                <w:p w14:paraId="6633523B" w14:textId="77777777" w:rsidR="00F550B2" w:rsidRPr="00A37DA8" w:rsidRDefault="00F550B2" w:rsidP="00C7426A">
                  <w:pPr>
                    <w:pStyle w:val="Oddelek"/>
                    <w:numPr>
                      <w:ilvl w:val="0"/>
                      <w:numId w:val="0"/>
                    </w:numPr>
                    <w:spacing w:before="0" w:after="0" w:line="260" w:lineRule="exact"/>
                    <w:jc w:val="both"/>
                    <w:rPr>
                      <w:rFonts w:cs="Arial"/>
                      <w:sz w:val="20"/>
                      <w:szCs w:val="20"/>
                      <w:lang w:val="sl-SI" w:eastAsia="sl-SI"/>
                    </w:rPr>
                  </w:pPr>
                  <w:r w:rsidRPr="00A37DA8">
                    <w:rPr>
                      <w:rFonts w:cs="Arial"/>
                      <w:sz w:val="20"/>
                      <w:szCs w:val="20"/>
                      <w:lang w:val="sl-SI" w:eastAsia="sl-SI"/>
                    </w:rPr>
                    <w:t>5. PRIKAZ UREDITVE V DRUGIH PRAVNIH SISTEMIH IN PRILAGOJENOSTI PREDLAGANE UREDITVE PRAVU EVROPSKE UNIJE</w:t>
                  </w:r>
                </w:p>
                <w:p w14:paraId="6633523C" w14:textId="77777777" w:rsidR="00F550B2" w:rsidRPr="00A37DA8" w:rsidRDefault="00F550B2" w:rsidP="00C7426A">
                  <w:pPr>
                    <w:pStyle w:val="Oddelek"/>
                    <w:numPr>
                      <w:ilvl w:val="0"/>
                      <w:numId w:val="0"/>
                    </w:numPr>
                    <w:spacing w:before="0" w:after="0" w:line="260" w:lineRule="exact"/>
                    <w:jc w:val="both"/>
                    <w:rPr>
                      <w:rFonts w:cs="Arial"/>
                      <w:sz w:val="20"/>
                      <w:szCs w:val="20"/>
                      <w:lang w:val="sl-SI" w:eastAsia="sl-SI"/>
                    </w:rPr>
                  </w:pPr>
                </w:p>
                <w:p w14:paraId="6633523D" w14:textId="77777777" w:rsidR="00F550B2" w:rsidRPr="00A37DA8" w:rsidRDefault="00F550B2" w:rsidP="00C7426A">
                  <w:pPr>
                    <w:pStyle w:val="Oddelek"/>
                    <w:numPr>
                      <w:ilvl w:val="0"/>
                      <w:numId w:val="0"/>
                    </w:numPr>
                    <w:spacing w:before="0" w:after="0" w:line="260" w:lineRule="exact"/>
                    <w:jc w:val="both"/>
                    <w:rPr>
                      <w:rFonts w:cs="Arial"/>
                      <w:b w:val="0"/>
                      <w:sz w:val="20"/>
                      <w:szCs w:val="20"/>
                      <w:lang w:val="sl-SI" w:eastAsia="sl-SI"/>
                    </w:rPr>
                  </w:pPr>
                  <w:r w:rsidRPr="00A37DA8">
                    <w:rPr>
                      <w:rFonts w:cs="Arial"/>
                      <w:b w:val="0"/>
                      <w:sz w:val="20"/>
                      <w:szCs w:val="20"/>
                      <w:lang w:val="sl-SI" w:eastAsia="sl-SI"/>
                    </w:rPr>
                    <w:t>Predlog zakona ni predmet usklajevanja s pravom Evropske unije.</w:t>
                  </w:r>
                </w:p>
                <w:p w14:paraId="6633523E" w14:textId="77777777" w:rsidR="00F550B2" w:rsidRPr="00A37DA8" w:rsidRDefault="00F550B2" w:rsidP="00C7426A">
                  <w:pPr>
                    <w:pStyle w:val="Oddelek"/>
                    <w:numPr>
                      <w:ilvl w:val="0"/>
                      <w:numId w:val="0"/>
                    </w:numPr>
                    <w:spacing w:before="0" w:after="0" w:line="260" w:lineRule="exact"/>
                    <w:jc w:val="both"/>
                    <w:rPr>
                      <w:rFonts w:cs="Arial"/>
                      <w:sz w:val="20"/>
                      <w:szCs w:val="20"/>
                      <w:lang w:val="sl-SI" w:eastAsia="sl-SI"/>
                    </w:rPr>
                  </w:pPr>
                </w:p>
                <w:p w14:paraId="6633523F" w14:textId="77777777" w:rsidR="00F550B2" w:rsidRPr="00A37DA8" w:rsidRDefault="00F550B2" w:rsidP="00C7426A">
                  <w:pPr>
                    <w:pStyle w:val="Oddelek"/>
                    <w:numPr>
                      <w:ilvl w:val="0"/>
                      <w:numId w:val="0"/>
                    </w:numPr>
                    <w:spacing w:before="0" w:after="0" w:line="260" w:lineRule="exact"/>
                    <w:jc w:val="both"/>
                    <w:rPr>
                      <w:rFonts w:cs="Arial"/>
                      <w:b w:val="0"/>
                      <w:sz w:val="20"/>
                      <w:szCs w:val="20"/>
                      <w:lang w:val="sl-SI" w:eastAsia="sl-SI"/>
                    </w:rPr>
                  </w:pPr>
                  <w:r w:rsidRPr="00A37DA8">
                    <w:rPr>
                      <w:rFonts w:cs="Arial"/>
                      <w:b w:val="0"/>
                      <w:sz w:val="20"/>
                      <w:szCs w:val="20"/>
                      <w:lang w:val="sl-SI" w:eastAsia="sl-SI"/>
                    </w:rPr>
                    <w:t>5.1</w:t>
                  </w:r>
                </w:p>
              </w:tc>
            </w:tr>
            <w:tr w:rsidR="00F550B2" w:rsidRPr="00A37DA8" w14:paraId="66335263" w14:textId="77777777" w:rsidTr="00C7426A">
              <w:tc>
                <w:tcPr>
                  <w:tcW w:w="9213" w:type="dxa"/>
                </w:tcPr>
                <w:p w14:paraId="66335241" w14:textId="77777777" w:rsidR="00F550B2" w:rsidRPr="00A37DA8" w:rsidRDefault="00F550B2" w:rsidP="00C7426A">
                  <w:pPr>
                    <w:autoSpaceDE w:val="0"/>
                    <w:autoSpaceDN w:val="0"/>
                    <w:adjustRightInd w:val="0"/>
                    <w:spacing w:after="0" w:line="260" w:lineRule="exact"/>
                    <w:jc w:val="both"/>
                    <w:rPr>
                      <w:rFonts w:ascii="Arial" w:eastAsia="Times New Roman" w:hAnsi="Arial" w:cs="Arial"/>
                      <w:sz w:val="20"/>
                      <w:szCs w:val="20"/>
                      <w:lang w:eastAsia="sl-SI"/>
                    </w:rPr>
                  </w:pPr>
                  <w:r w:rsidRPr="00A37DA8">
                    <w:rPr>
                      <w:rFonts w:ascii="Arial" w:eastAsia="Times New Roman" w:hAnsi="Arial" w:cs="Arial"/>
                      <w:b/>
                      <w:sz w:val="20"/>
                      <w:szCs w:val="20"/>
                      <w:lang w:eastAsia="sl-SI"/>
                    </w:rPr>
                    <w:t>Hrvaška</w:t>
                  </w:r>
                  <w:r w:rsidRPr="00A37DA8">
                    <w:rPr>
                      <w:rFonts w:ascii="Arial" w:eastAsia="Times New Roman" w:hAnsi="Arial" w:cs="Arial"/>
                      <w:sz w:val="20"/>
                      <w:szCs w:val="20"/>
                      <w:lang w:eastAsia="sl-SI"/>
                    </w:rPr>
                    <w:t xml:space="preserve"> (Vir: zbirka IBFD)</w:t>
                  </w:r>
                </w:p>
                <w:p w14:paraId="66335242" w14:textId="77777777" w:rsidR="00F550B2" w:rsidRPr="00A37DA8" w:rsidRDefault="00F550B2" w:rsidP="00C7426A">
                  <w:pPr>
                    <w:autoSpaceDE w:val="0"/>
                    <w:autoSpaceDN w:val="0"/>
                    <w:adjustRightInd w:val="0"/>
                    <w:spacing w:after="0" w:line="260" w:lineRule="exact"/>
                    <w:jc w:val="both"/>
                    <w:rPr>
                      <w:rFonts w:ascii="Arial" w:eastAsia="Times New Roman" w:hAnsi="Arial" w:cs="Arial"/>
                      <w:sz w:val="20"/>
                      <w:szCs w:val="20"/>
                      <w:lang w:eastAsia="sl-SI"/>
                    </w:rPr>
                  </w:pPr>
                  <w:r w:rsidRPr="00A37DA8">
                    <w:rPr>
                      <w:rFonts w:ascii="Arial" w:eastAsia="Times New Roman" w:hAnsi="Arial" w:cs="Arial"/>
                      <w:sz w:val="20"/>
                      <w:szCs w:val="20"/>
                      <w:lang w:eastAsia="sl-SI"/>
                    </w:rPr>
                    <w:t>Za zavezance z obdavčljivimi prihodki do 3 mio HRK znaša davčna stopnja podjetniškega davka 12 %, za zavezance z obdavčljivimi prihodki 3 mio HRK in več pa znaša 18 %.</w:t>
                  </w:r>
                </w:p>
                <w:p w14:paraId="66335243"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p w14:paraId="66335244"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A37DA8">
                    <w:rPr>
                      <w:rFonts w:ascii="Arial" w:eastAsia="Times New Roman" w:hAnsi="Arial" w:cs="Arial"/>
                      <w:b/>
                      <w:sz w:val="20"/>
                      <w:szCs w:val="20"/>
                      <w:lang w:eastAsia="sl-SI"/>
                    </w:rPr>
                    <w:t xml:space="preserve">Luksemburg </w:t>
                  </w:r>
                  <w:r w:rsidRPr="00A37DA8">
                    <w:rPr>
                      <w:rFonts w:ascii="Arial" w:eastAsia="Times New Roman" w:hAnsi="Arial" w:cs="Arial"/>
                      <w:sz w:val="20"/>
                      <w:szCs w:val="20"/>
                      <w:lang w:eastAsia="sl-SI"/>
                    </w:rPr>
                    <w:t>(Vir: zbirka IBFD)</w:t>
                  </w:r>
                </w:p>
                <w:p w14:paraId="66335245"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Davčna stopnja podjetniškega davka za leto 2017 znaša 19 %, solidarnostno doplačilo za zaposlitveni sklad pa 7 % davčne obveznosti za podjetniški davek (skupaj efektivno 20,33 %). Podjetja dodatno plačujejo še občinske podjetniške davke, za mesto Luksemburg npr. 6,75 % (skupaj efektivno 27,08 %). Zavezanci z obdavčljivim dobičkom pod 25.000 eurov plačujejo podjetniški davek po stopnji 15 %, zavezanci z  obdavčljivim dobičkom med 25.000 eurov in 30.000 eurov pa plačajo podjetniški davek v višini 3.750 eurov plus 39 % od dobička nad 25.000 eurov.</w:t>
                  </w:r>
                </w:p>
                <w:p w14:paraId="66335246" w14:textId="77777777" w:rsidR="00F550B2" w:rsidRPr="00A37DA8" w:rsidRDefault="00F550B2" w:rsidP="00C7426A">
                  <w:pPr>
                    <w:spacing w:after="0" w:line="260" w:lineRule="atLeast"/>
                    <w:rPr>
                      <w:rFonts w:ascii="Arial" w:eastAsia="Times New Roman" w:hAnsi="Arial" w:cs="Arial"/>
                      <w:sz w:val="20"/>
                      <w:szCs w:val="20"/>
                      <w:highlight w:val="yellow"/>
                    </w:rPr>
                  </w:pPr>
                </w:p>
                <w:p w14:paraId="66335247" w14:textId="77777777" w:rsidR="00F550B2" w:rsidRPr="00A37DA8" w:rsidRDefault="00F550B2" w:rsidP="00C7426A">
                  <w:pPr>
                    <w:spacing w:after="0" w:line="260" w:lineRule="exact"/>
                    <w:jc w:val="both"/>
                    <w:rPr>
                      <w:rFonts w:ascii="Arial" w:eastAsia="Times New Roman" w:hAnsi="Arial" w:cs="Arial"/>
                      <w:sz w:val="20"/>
                      <w:szCs w:val="20"/>
                      <w:lang w:eastAsia="sl-SI"/>
                    </w:rPr>
                  </w:pPr>
                  <w:r w:rsidRPr="00A37DA8">
                    <w:rPr>
                      <w:rFonts w:ascii="Arial" w:eastAsia="Times New Roman" w:hAnsi="Arial" w:cs="Arial"/>
                      <w:b/>
                      <w:sz w:val="20"/>
                      <w:szCs w:val="20"/>
                      <w:lang w:eastAsia="sl-SI"/>
                    </w:rPr>
                    <w:t xml:space="preserve">Belgija </w:t>
                  </w:r>
                  <w:r w:rsidRPr="00A37DA8">
                    <w:rPr>
                      <w:rFonts w:ascii="Arial" w:eastAsia="Times New Roman" w:hAnsi="Arial" w:cs="Arial"/>
                      <w:sz w:val="20"/>
                      <w:szCs w:val="20"/>
                      <w:lang w:eastAsia="sl-SI"/>
                    </w:rPr>
                    <w:t>(Vir: zbirka IBFD)</w:t>
                  </w:r>
                </w:p>
                <w:p w14:paraId="66335248" w14:textId="77777777" w:rsidR="00F550B2" w:rsidRPr="00A37DA8" w:rsidRDefault="00F550B2" w:rsidP="00C7426A">
                  <w:pPr>
                    <w:autoSpaceDE w:val="0"/>
                    <w:autoSpaceDN w:val="0"/>
                    <w:adjustRightInd w:val="0"/>
                    <w:spacing w:after="0" w:line="260" w:lineRule="exact"/>
                    <w:jc w:val="both"/>
                    <w:rPr>
                      <w:rFonts w:ascii="Arial" w:eastAsia="Times New Roman" w:hAnsi="Arial" w:cs="Arial"/>
                      <w:b/>
                      <w:sz w:val="20"/>
                      <w:szCs w:val="20"/>
                      <w:lang w:eastAsia="sl-SI"/>
                    </w:rPr>
                  </w:pPr>
                  <w:r w:rsidRPr="00A37DA8">
                    <w:rPr>
                      <w:rFonts w:ascii="Arial" w:eastAsia="Times New Roman" w:hAnsi="Arial" w:cs="Arial"/>
                      <w:sz w:val="20"/>
                      <w:szCs w:val="20"/>
                      <w:lang w:eastAsia="sl-SI"/>
                    </w:rPr>
                    <w:t>Davčna stopnja davka na dobiček podjetij znaša 33 %, ki skupaj z dodatnim davkom v višini 3 % znaša do 33,99 %. Za podjetja z letnim obdavčljivim prihodkom do 322.500 eurov se uporablja progresivna lestvica: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2339"/>
                  </w:tblGrid>
                  <w:tr w:rsidR="00F550B2" w:rsidRPr="00A37DA8" w14:paraId="6633524B" w14:textId="77777777" w:rsidTr="00C7426A">
                    <w:tc>
                      <w:tcPr>
                        <w:tcW w:w="3073" w:type="dxa"/>
                        <w:shd w:val="clear" w:color="auto" w:fill="auto"/>
                      </w:tcPr>
                      <w:p w14:paraId="66335249" w14:textId="77777777" w:rsidR="00F550B2" w:rsidRPr="00A37DA8" w:rsidRDefault="00F550B2" w:rsidP="00C7426A">
                        <w:pPr>
                          <w:spacing w:after="0" w:line="260" w:lineRule="exact"/>
                          <w:jc w:val="center"/>
                          <w:rPr>
                            <w:rFonts w:ascii="Arial" w:eastAsia="Times New Roman" w:hAnsi="Arial" w:cs="Arial"/>
                            <w:b/>
                            <w:sz w:val="20"/>
                            <w:szCs w:val="20"/>
                            <w:lang w:eastAsia="sl-SI"/>
                          </w:rPr>
                        </w:pPr>
                        <w:r w:rsidRPr="00A37DA8">
                          <w:rPr>
                            <w:rFonts w:ascii="Arial" w:eastAsia="Times New Roman" w:hAnsi="Arial" w:cs="Arial"/>
                            <w:b/>
                            <w:sz w:val="20"/>
                            <w:szCs w:val="20"/>
                            <w:lang w:eastAsia="sl-SI"/>
                          </w:rPr>
                          <w:t>Obdavčljivi prihodek (v eurih)</w:t>
                        </w:r>
                      </w:p>
                    </w:tc>
                    <w:tc>
                      <w:tcPr>
                        <w:tcW w:w="2339" w:type="dxa"/>
                        <w:shd w:val="clear" w:color="auto" w:fill="auto"/>
                      </w:tcPr>
                      <w:p w14:paraId="6633524A" w14:textId="77777777" w:rsidR="00F550B2" w:rsidRPr="00A37DA8" w:rsidRDefault="00F550B2" w:rsidP="00C7426A">
                        <w:pPr>
                          <w:spacing w:after="0" w:line="260" w:lineRule="exact"/>
                          <w:jc w:val="center"/>
                          <w:rPr>
                            <w:rFonts w:ascii="Arial" w:eastAsia="Times New Roman" w:hAnsi="Arial" w:cs="Arial"/>
                            <w:b/>
                            <w:sz w:val="20"/>
                            <w:szCs w:val="20"/>
                            <w:lang w:eastAsia="sl-SI"/>
                          </w:rPr>
                        </w:pPr>
                        <w:r w:rsidRPr="00A37DA8">
                          <w:rPr>
                            <w:rFonts w:ascii="Arial" w:eastAsia="Times New Roman" w:hAnsi="Arial" w:cs="Arial"/>
                            <w:b/>
                            <w:sz w:val="20"/>
                            <w:szCs w:val="20"/>
                            <w:lang w:eastAsia="sl-SI"/>
                          </w:rPr>
                          <w:t>Davčna stopnja (v %)</w:t>
                        </w:r>
                      </w:p>
                    </w:tc>
                  </w:tr>
                  <w:tr w:rsidR="00F550B2" w:rsidRPr="00A37DA8" w14:paraId="6633524E" w14:textId="77777777" w:rsidTr="00C7426A">
                    <w:tc>
                      <w:tcPr>
                        <w:tcW w:w="3073" w:type="dxa"/>
                        <w:shd w:val="clear" w:color="auto" w:fill="auto"/>
                      </w:tcPr>
                      <w:p w14:paraId="6633524C" w14:textId="77777777" w:rsidR="00F550B2" w:rsidRPr="00A37DA8" w:rsidRDefault="00F550B2" w:rsidP="00C7426A">
                        <w:pPr>
                          <w:spacing w:after="0" w:line="260" w:lineRule="exact"/>
                          <w:jc w:val="center"/>
                          <w:rPr>
                            <w:rFonts w:ascii="Arial" w:eastAsia="Times New Roman" w:hAnsi="Arial" w:cs="Arial"/>
                            <w:sz w:val="20"/>
                            <w:szCs w:val="20"/>
                            <w:lang w:eastAsia="sl-SI"/>
                          </w:rPr>
                        </w:pPr>
                        <w:r w:rsidRPr="00A37DA8">
                          <w:rPr>
                            <w:rFonts w:ascii="Arial" w:eastAsia="Times New Roman" w:hAnsi="Arial" w:cs="Arial"/>
                            <w:sz w:val="20"/>
                            <w:szCs w:val="20"/>
                            <w:lang w:eastAsia="sl-SI"/>
                          </w:rPr>
                          <w:t>do 25.000</w:t>
                        </w:r>
                      </w:p>
                    </w:tc>
                    <w:tc>
                      <w:tcPr>
                        <w:tcW w:w="2339" w:type="dxa"/>
                        <w:shd w:val="clear" w:color="auto" w:fill="auto"/>
                      </w:tcPr>
                      <w:p w14:paraId="6633524D" w14:textId="77777777" w:rsidR="00F550B2" w:rsidRPr="00A37DA8" w:rsidRDefault="00F550B2" w:rsidP="00C7426A">
                        <w:pPr>
                          <w:spacing w:after="0" w:line="260" w:lineRule="exact"/>
                          <w:jc w:val="center"/>
                          <w:rPr>
                            <w:rFonts w:ascii="Arial" w:eastAsia="Times New Roman" w:hAnsi="Arial" w:cs="Arial"/>
                            <w:sz w:val="20"/>
                            <w:szCs w:val="20"/>
                            <w:lang w:eastAsia="sl-SI"/>
                          </w:rPr>
                        </w:pPr>
                        <w:r w:rsidRPr="00A37DA8">
                          <w:rPr>
                            <w:rFonts w:ascii="Arial" w:eastAsia="Times New Roman" w:hAnsi="Arial" w:cs="Arial"/>
                            <w:sz w:val="20"/>
                            <w:szCs w:val="20"/>
                            <w:lang w:eastAsia="sl-SI"/>
                          </w:rPr>
                          <w:t>25,25</w:t>
                        </w:r>
                      </w:p>
                    </w:tc>
                  </w:tr>
                  <w:tr w:rsidR="00F550B2" w:rsidRPr="00A37DA8" w14:paraId="66335251" w14:textId="77777777" w:rsidTr="00C7426A">
                    <w:tc>
                      <w:tcPr>
                        <w:tcW w:w="3073" w:type="dxa"/>
                        <w:shd w:val="clear" w:color="auto" w:fill="auto"/>
                      </w:tcPr>
                      <w:p w14:paraId="6633524F" w14:textId="77777777" w:rsidR="00F550B2" w:rsidRPr="00A37DA8" w:rsidRDefault="00F550B2" w:rsidP="00C7426A">
                        <w:pPr>
                          <w:spacing w:after="0" w:line="260" w:lineRule="exact"/>
                          <w:jc w:val="center"/>
                          <w:rPr>
                            <w:rFonts w:ascii="Arial" w:eastAsia="Times New Roman" w:hAnsi="Arial" w:cs="Arial"/>
                            <w:sz w:val="20"/>
                            <w:szCs w:val="20"/>
                            <w:lang w:eastAsia="sl-SI"/>
                          </w:rPr>
                        </w:pPr>
                        <w:r w:rsidRPr="00A37DA8">
                          <w:rPr>
                            <w:rFonts w:ascii="Arial" w:eastAsia="Times New Roman" w:hAnsi="Arial" w:cs="Arial"/>
                            <w:sz w:val="20"/>
                            <w:szCs w:val="20"/>
                            <w:lang w:eastAsia="sl-SI"/>
                          </w:rPr>
                          <w:t>25.000–90.000</w:t>
                        </w:r>
                      </w:p>
                    </w:tc>
                    <w:tc>
                      <w:tcPr>
                        <w:tcW w:w="2339" w:type="dxa"/>
                        <w:shd w:val="clear" w:color="auto" w:fill="auto"/>
                      </w:tcPr>
                      <w:p w14:paraId="66335250" w14:textId="77777777" w:rsidR="00F550B2" w:rsidRPr="00A37DA8" w:rsidRDefault="00F550B2" w:rsidP="00C7426A">
                        <w:pPr>
                          <w:spacing w:after="0" w:line="260" w:lineRule="exact"/>
                          <w:jc w:val="center"/>
                          <w:rPr>
                            <w:rFonts w:ascii="Arial" w:eastAsia="Times New Roman" w:hAnsi="Arial" w:cs="Arial"/>
                            <w:sz w:val="20"/>
                            <w:szCs w:val="20"/>
                            <w:lang w:eastAsia="sl-SI"/>
                          </w:rPr>
                        </w:pPr>
                        <w:r w:rsidRPr="00A37DA8">
                          <w:rPr>
                            <w:rFonts w:ascii="Arial" w:eastAsia="Times New Roman" w:hAnsi="Arial" w:cs="Arial"/>
                            <w:sz w:val="20"/>
                            <w:szCs w:val="20"/>
                            <w:lang w:eastAsia="sl-SI"/>
                          </w:rPr>
                          <w:t>31,00</w:t>
                        </w:r>
                      </w:p>
                    </w:tc>
                  </w:tr>
                  <w:tr w:rsidR="00F550B2" w:rsidRPr="00A37DA8" w14:paraId="66335254" w14:textId="77777777" w:rsidTr="00C7426A">
                    <w:tc>
                      <w:tcPr>
                        <w:tcW w:w="3073" w:type="dxa"/>
                        <w:shd w:val="clear" w:color="auto" w:fill="auto"/>
                      </w:tcPr>
                      <w:p w14:paraId="66335252" w14:textId="77777777" w:rsidR="00F550B2" w:rsidRPr="00A37DA8" w:rsidRDefault="00F550B2" w:rsidP="00C7426A">
                        <w:pPr>
                          <w:spacing w:after="0" w:line="260" w:lineRule="exact"/>
                          <w:jc w:val="center"/>
                          <w:rPr>
                            <w:rFonts w:ascii="Arial" w:eastAsia="Times New Roman" w:hAnsi="Arial" w:cs="Arial"/>
                            <w:sz w:val="20"/>
                            <w:szCs w:val="20"/>
                            <w:lang w:eastAsia="sl-SI"/>
                          </w:rPr>
                        </w:pPr>
                        <w:r w:rsidRPr="00A37DA8">
                          <w:rPr>
                            <w:rFonts w:ascii="Arial" w:eastAsia="Times New Roman" w:hAnsi="Arial" w:cs="Arial"/>
                            <w:sz w:val="20"/>
                            <w:szCs w:val="20"/>
                            <w:lang w:eastAsia="sl-SI"/>
                          </w:rPr>
                          <w:t>90.000–322.500</w:t>
                        </w:r>
                      </w:p>
                    </w:tc>
                    <w:tc>
                      <w:tcPr>
                        <w:tcW w:w="2339" w:type="dxa"/>
                        <w:shd w:val="clear" w:color="auto" w:fill="auto"/>
                      </w:tcPr>
                      <w:p w14:paraId="66335253" w14:textId="77777777" w:rsidR="00F550B2" w:rsidRPr="00A37DA8" w:rsidRDefault="00F550B2" w:rsidP="00C7426A">
                        <w:pPr>
                          <w:spacing w:after="0" w:line="260" w:lineRule="exact"/>
                          <w:jc w:val="center"/>
                          <w:rPr>
                            <w:rFonts w:ascii="Arial" w:eastAsia="Times New Roman" w:hAnsi="Arial" w:cs="Arial"/>
                            <w:sz w:val="20"/>
                            <w:szCs w:val="20"/>
                            <w:lang w:eastAsia="sl-SI"/>
                          </w:rPr>
                        </w:pPr>
                        <w:r w:rsidRPr="00A37DA8">
                          <w:rPr>
                            <w:rFonts w:ascii="Arial" w:eastAsia="Times New Roman" w:hAnsi="Arial" w:cs="Arial"/>
                            <w:sz w:val="20"/>
                            <w:szCs w:val="20"/>
                            <w:lang w:eastAsia="sl-SI"/>
                          </w:rPr>
                          <w:t>34,50</w:t>
                        </w:r>
                      </w:p>
                    </w:tc>
                  </w:tr>
                </w:tbl>
                <w:p w14:paraId="66335255" w14:textId="77777777" w:rsidR="00F550B2" w:rsidRPr="00A37DA8" w:rsidRDefault="00F550B2" w:rsidP="00C7426A">
                  <w:pPr>
                    <w:spacing w:after="0" w:line="260" w:lineRule="exact"/>
                    <w:rPr>
                      <w:rFonts w:ascii="Arial" w:eastAsia="Times New Roman" w:hAnsi="Arial" w:cs="Arial"/>
                      <w:b/>
                      <w:sz w:val="20"/>
                      <w:szCs w:val="20"/>
                      <w:lang w:eastAsia="sl-SI"/>
                    </w:rPr>
                  </w:pPr>
                </w:p>
                <w:p w14:paraId="66335256" w14:textId="77777777" w:rsidR="00F550B2" w:rsidRPr="00A37DA8" w:rsidRDefault="00F550B2" w:rsidP="00C7426A">
                  <w:pPr>
                    <w:spacing w:after="0" w:line="260" w:lineRule="exact"/>
                    <w:jc w:val="both"/>
                    <w:rPr>
                      <w:rFonts w:ascii="Arial" w:eastAsia="Times New Roman" w:hAnsi="Arial" w:cs="Arial"/>
                      <w:sz w:val="20"/>
                      <w:szCs w:val="20"/>
                      <w:lang w:eastAsia="sl-SI"/>
                    </w:rPr>
                  </w:pPr>
                  <w:r w:rsidRPr="00A37DA8">
                    <w:rPr>
                      <w:rFonts w:ascii="Arial" w:eastAsia="Times New Roman" w:hAnsi="Arial" w:cs="Arial"/>
                      <w:sz w:val="20"/>
                      <w:szCs w:val="20"/>
                      <w:lang w:eastAsia="sl-SI"/>
                    </w:rPr>
                    <w:t xml:space="preserve">Navedene progresivne stopnje skupaj z dodatnim 3-odstotnim davkom znašajo </w:t>
                  </w:r>
                  <w:r w:rsidRPr="00A37DA8">
                    <w:rPr>
                      <w:rFonts w:ascii="Arial" w:eastAsia="Times New Roman" w:hAnsi="Arial" w:cs="Arial"/>
                      <w:vanish/>
                      <w:sz w:val="20"/>
                      <w:szCs w:val="20"/>
                      <w:lang w:eastAsia="sl-SI"/>
                    </w:rPr>
                    <w:t> </w:t>
                  </w:r>
                  <w:r w:rsidRPr="00A37DA8">
                    <w:rPr>
                      <w:rFonts w:ascii="Arial" w:eastAsia="Times New Roman" w:hAnsi="Arial" w:cs="Arial"/>
                      <w:sz w:val="20"/>
                      <w:szCs w:val="20"/>
                      <w:lang w:eastAsia="sl-SI"/>
                    </w:rPr>
                    <w:t>24,98 %, 31,93 % oziroma 35,54 %. Progresivne stopnje lahko uveljavljajo le podjetja, ki izpolnjujejo dodatne pogoje, ki se nanašajo na njihovo dejavnost, lastništvo, stopnjo izplačanih dividend glede na vplačani kapital in na plačila direktorjem oziroma aktivnim partnerjem.</w:t>
                  </w:r>
                </w:p>
                <w:p w14:paraId="66335257" w14:textId="77777777" w:rsidR="00F550B2" w:rsidRPr="00A37DA8" w:rsidRDefault="00F550B2" w:rsidP="00C7426A">
                  <w:pPr>
                    <w:spacing w:after="0" w:line="260" w:lineRule="exact"/>
                    <w:jc w:val="both"/>
                    <w:rPr>
                      <w:rFonts w:ascii="Arial" w:eastAsia="Times New Roman" w:hAnsi="Arial" w:cs="Arial"/>
                      <w:sz w:val="20"/>
                      <w:szCs w:val="20"/>
                      <w:lang w:eastAsia="sl-SI"/>
                    </w:rPr>
                  </w:pPr>
                </w:p>
                <w:p w14:paraId="66335258" w14:textId="77777777" w:rsidR="00F550B2" w:rsidRPr="00A37DA8" w:rsidRDefault="00F550B2" w:rsidP="00C7426A">
                  <w:pPr>
                    <w:spacing w:after="0" w:line="260" w:lineRule="exact"/>
                    <w:contextualSpacing/>
                    <w:jc w:val="both"/>
                    <w:rPr>
                      <w:rFonts w:ascii="Arial" w:eastAsia="Times New Roman" w:hAnsi="Arial" w:cs="Arial"/>
                      <w:sz w:val="20"/>
                      <w:szCs w:val="20"/>
                      <w:lang w:eastAsia="sl-SI"/>
                    </w:rPr>
                  </w:pPr>
                  <w:r w:rsidRPr="00A37DA8">
                    <w:rPr>
                      <w:rFonts w:ascii="Arial" w:eastAsia="Times New Roman" w:hAnsi="Arial" w:cs="Arial"/>
                      <w:sz w:val="20"/>
                      <w:szCs w:val="20"/>
                      <w:lang w:eastAsia="sl-SI"/>
                    </w:rPr>
                    <w:t>5.2</w:t>
                  </w:r>
                </w:p>
                <w:p w14:paraId="66335259" w14:textId="77777777" w:rsidR="00F550B2" w:rsidRPr="00A37DA8" w:rsidRDefault="00F550B2" w:rsidP="00C7426A">
                  <w:pPr>
                    <w:autoSpaceDE w:val="0"/>
                    <w:autoSpaceDN w:val="0"/>
                    <w:adjustRightInd w:val="0"/>
                    <w:spacing w:after="0" w:line="260" w:lineRule="exact"/>
                    <w:jc w:val="both"/>
                    <w:rPr>
                      <w:rFonts w:ascii="Arial" w:eastAsia="Times New Roman" w:hAnsi="Arial" w:cs="Arial"/>
                      <w:sz w:val="20"/>
                      <w:szCs w:val="20"/>
                      <w:lang w:eastAsia="sl-SI"/>
                    </w:rPr>
                  </w:pPr>
                  <w:r w:rsidRPr="00A37DA8">
                    <w:rPr>
                      <w:rFonts w:ascii="Arial" w:eastAsia="Times New Roman" w:hAnsi="Arial" w:cs="Arial"/>
                      <w:b/>
                      <w:sz w:val="20"/>
                      <w:szCs w:val="20"/>
                      <w:lang w:eastAsia="sl-SI"/>
                    </w:rPr>
                    <w:t>Hrvaška</w:t>
                  </w:r>
                  <w:r w:rsidRPr="00A37DA8">
                    <w:rPr>
                      <w:rFonts w:ascii="Arial" w:eastAsia="Times New Roman" w:hAnsi="Arial" w:cs="Arial"/>
                      <w:sz w:val="20"/>
                      <w:szCs w:val="20"/>
                      <w:lang w:eastAsia="sl-SI"/>
                    </w:rPr>
                    <w:t xml:space="preserve"> (Vir: zbirka IBFD)</w:t>
                  </w:r>
                </w:p>
                <w:p w14:paraId="6633525A" w14:textId="77777777" w:rsidR="00F550B2" w:rsidRPr="00A37DA8" w:rsidRDefault="00F550B2" w:rsidP="00C7426A">
                  <w:pPr>
                    <w:pStyle w:val="Oddelek"/>
                    <w:numPr>
                      <w:ilvl w:val="0"/>
                      <w:numId w:val="0"/>
                    </w:numPr>
                    <w:spacing w:before="0" w:after="0" w:line="260" w:lineRule="exact"/>
                    <w:jc w:val="both"/>
                    <w:rPr>
                      <w:rFonts w:cs="Arial"/>
                      <w:b w:val="0"/>
                      <w:sz w:val="20"/>
                      <w:szCs w:val="20"/>
                      <w:lang w:val="sl-SI" w:eastAsia="sl-SI"/>
                    </w:rPr>
                  </w:pPr>
                  <w:r w:rsidRPr="00A37DA8">
                    <w:rPr>
                      <w:rFonts w:cs="Arial"/>
                      <w:b w:val="0"/>
                      <w:sz w:val="20"/>
                      <w:szCs w:val="20"/>
                      <w:lang w:val="sl-SI" w:eastAsia="sl-SI"/>
                    </w:rPr>
                    <w:t>Kapitalski dobički in izgube od prodaje kapitalskih sredstev so del rednega obdavčljivega dobička. Dobički od prodaje lastnih delnic so neobdavčljivi.</w:t>
                  </w:r>
                </w:p>
                <w:p w14:paraId="6633525B" w14:textId="77777777" w:rsidR="00F550B2" w:rsidRPr="00A37DA8" w:rsidRDefault="00F550B2" w:rsidP="00C7426A">
                  <w:pPr>
                    <w:pStyle w:val="Oddelek"/>
                    <w:numPr>
                      <w:ilvl w:val="0"/>
                      <w:numId w:val="0"/>
                    </w:numPr>
                    <w:spacing w:before="0" w:after="0" w:line="260" w:lineRule="exact"/>
                    <w:jc w:val="both"/>
                    <w:rPr>
                      <w:rFonts w:cs="Arial"/>
                      <w:b w:val="0"/>
                      <w:sz w:val="20"/>
                      <w:szCs w:val="20"/>
                      <w:lang w:val="sl-SI" w:eastAsia="sl-SI"/>
                    </w:rPr>
                  </w:pPr>
                </w:p>
                <w:p w14:paraId="6633525C" w14:textId="77777777" w:rsidR="00F550B2" w:rsidRPr="00A37DA8" w:rsidRDefault="00F550B2" w:rsidP="00C7426A">
                  <w:pPr>
                    <w:pStyle w:val="Oddelek"/>
                    <w:numPr>
                      <w:ilvl w:val="0"/>
                      <w:numId w:val="0"/>
                    </w:numPr>
                    <w:spacing w:before="0" w:after="0" w:line="260" w:lineRule="exact"/>
                    <w:jc w:val="both"/>
                    <w:rPr>
                      <w:rFonts w:cs="Arial"/>
                      <w:b w:val="0"/>
                      <w:sz w:val="20"/>
                      <w:szCs w:val="20"/>
                      <w:lang w:val="sl-SI" w:eastAsia="sl-SI"/>
                    </w:rPr>
                  </w:pPr>
                  <w:r w:rsidRPr="00A37DA8">
                    <w:rPr>
                      <w:rFonts w:cs="Arial"/>
                      <w:sz w:val="20"/>
                      <w:szCs w:val="20"/>
                      <w:lang w:val="sl-SI" w:eastAsia="sl-SI"/>
                    </w:rPr>
                    <w:t xml:space="preserve">Luksemburg </w:t>
                  </w:r>
                  <w:r w:rsidRPr="00A37DA8">
                    <w:rPr>
                      <w:rFonts w:cs="Arial"/>
                      <w:b w:val="0"/>
                      <w:sz w:val="20"/>
                      <w:szCs w:val="20"/>
                      <w:lang w:val="sl-SI" w:eastAsia="sl-SI"/>
                    </w:rPr>
                    <w:t>(Vir: zbirka IBFD)</w:t>
                  </w:r>
                </w:p>
                <w:p w14:paraId="6633525D" w14:textId="77777777" w:rsidR="00F550B2" w:rsidRPr="00A37DA8" w:rsidRDefault="00F550B2" w:rsidP="00C7426A">
                  <w:pPr>
                    <w:pStyle w:val="Oddelek"/>
                    <w:numPr>
                      <w:ilvl w:val="0"/>
                      <w:numId w:val="0"/>
                    </w:numPr>
                    <w:spacing w:before="0" w:after="0" w:line="260" w:lineRule="exact"/>
                    <w:jc w:val="both"/>
                    <w:rPr>
                      <w:rFonts w:cs="Arial"/>
                      <w:b w:val="0"/>
                      <w:sz w:val="20"/>
                      <w:szCs w:val="20"/>
                      <w:lang w:val="sl-SI" w:eastAsia="sl-SI"/>
                    </w:rPr>
                  </w:pPr>
                  <w:r w:rsidRPr="00A37DA8">
                    <w:rPr>
                      <w:rFonts w:cs="Arial"/>
                      <w:b w:val="0"/>
                      <w:sz w:val="20"/>
                      <w:szCs w:val="20"/>
                      <w:lang w:val="sl-SI" w:eastAsia="sl-SI"/>
                    </w:rPr>
                    <w:t xml:space="preserve">Kapitalski dobički in izgube od prodaje sredstev (kapitalskih in </w:t>
                  </w:r>
                  <w:proofErr w:type="spellStart"/>
                  <w:r w:rsidRPr="00A37DA8">
                    <w:rPr>
                      <w:rFonts w:cs="Arial"/>
                      <w:b w:val="0"/>
                      <w:sz w:val="20"/>
                      <w:szCs w:val="20"/>
                      <w:lang w:val="sl-SI" w:eastAsia="sl-SI"/>
                    </w:rPr>
                    <w:t>nekapitalskih</w:t>
                  </w:r>
                  <w:proofErr w:type="spellEnd"/>
                  <w:r w:rsidRPr="00A37DA8">
                    <w:rPr>
                      <w:rFonts w:cs="Arial"/>
                      <w:b w:val="0"/>
                      <w:sz w:val="20"/>
                      <w:szCs w:val="20"/>
                      <w:lang w:val="sl-SI" w:eastAsia="sl-SI"/>
                    </w:rPr>
                    <w:t xml:space="preserve">) so del rednega </w:t>
                  </w:r>
                  <w:r w:rsidRPr="00A37DA8">
                    <w:rPr>
                      <w:rFonts w:cs="Arial"/>
                      <w:b w:val="0"/>
                      <w:sz w:val="20"/>
                      <w:szCs w:val="20"/>
                      <w:lang w:val="sl-SI" w:eastAsia="sl-SI"/>
                    </w:rPr>
                    <w:lastRenderedPageBreak/>
                    <w:t>obdavčljivega dobička. Kapitalski dobički od prodaje delnic so pod določenimi pogoji izvzeti iz obdavčitve, kapitalske izgube od odtujitve delnic pa so davčno odbitne.</w:t>
                  </w:r>
                </w:p>
                <w:p w14:paraId="6633525E" w14:textId="77777777" w:rsidR="00F550B2" w:rsidRPr="00A37DA8" w:rsidRDefault="00F550B2" w:rsidP="00C7426A">
                  <w:pPr>
                    <w:pStyle w:val="Oddelek"/>
                    <w:numPr>
                      <w:ilvl w:val="0"/>
                      <w:numId w:val="0"/>
                    </w:numPr>
                    <w:spacing w:before="0" w:after="0" w:line="260" w:lineRule="exact"/>
                    <w:jc w:val="both"/>
                    <w:rPr>
                      <w:rFonts w:cs="Arial"/>
                      <w:sz w:val="20"/>
                      <w:szCs w:val="20"/>
                      <w:lang w:val="sl-SI" w:eastAsia="sl-SI"/>
                    </w:rPr>
                  </w:pPr>
                </w:p>
                <w:p w14:paraId="6633525F" w14:textId="77777777" w:rsidR="00F550B2" w:rsidRPr="00A37DA8" w:rsidRDefault="00F550B2" w:rsidP="00C7426A">
                  <w:pPr>
                    <w:pStyle w:val="Oddelek"/>
                    <w:numPr>
                      <w:ilvl w:val="0"/>
                      <w:numId w:val="0"/>
                    </w:numPr>
                    <w:spacing w:before="0" w:after="0" w:line="260" w:lineRule="exact"/>
                    <w:jc w:val="both"/>
                    <w:rPr>
                      <w:rFonts w:cs="Arial"/>
                      <w:b w:val="0"/>
                      <w:sz w:val="20"/>
                      <w:szCs w:val="20"/>
                      <w:lang w:val="sl-SI" w:eastAsia="sl-SI"/>
                    </w:rPr>
                  </w:pPr>
                  <w:r w:rsidRPr="00A37DA8">
                    <w:rPr>
                      <w:rFonts w:cs="Arial"/>
                      <w:sz w:val="20"/>
                      <w:szCs w:val="20"/>
                      <w:lang w:val="sl-SI" w:eastAsia="sl-SI"/>
                    </w:rPr>
                    <w:t xml:space="preserve">Romunija </w:t>
                  </w:r>
                  <w:r w:rsidRPr="00A37DA8">
                    <w:rPr>
                      <w:rFonts w:cs="Arial"/>
                      <w:b w:val="0"/>
                      <w:sz w:val="20"/>
                      <w:szCs w:val="20"/>
                      <w:lang w:val="sl-SI" w:eastAsia="sl-SI"/>
                    </w:rPr>
                    <w:t>(Vir: zbirka IBFD)</w:t>
                  </w:r>
                </w:p>
                <w:p w14:paraId="66335260" w14:textId="77777777" w:rsidR="00F550B2" w:rsidRPr="00A37DA8" w:rsidRDefault="00F550B2" w:rsidP="00C7426A">
                  <w:pPr>
                    <w:pStyle w:val="Oddelek"/>
                    <w:numPr>
                      <w:ilvl w:val="0"/>
                      <w:numId w:val="0"/>
                    </w:numPr>
                    <w:spacing w:before="0" w:after="0" w:line="260" w:lineRule="exact"/>
                    <w:jc w:val="both"/>
                    <w:rPr>
                      <w:rFonts w:cs="Arial"/>
                      <w:b w:val="0"/>
                      <w:sz w:val="20"/>
                      <w:szCs w:val="20"/>
                      <w:lang w:val="sl-SI" w:eastAsia="sl-SI"/>
                    </w:rPr>
                  </w:pPr>
                  <w:r w:rsidRPr="00A37DA8">
                    <w:rPr>
                      <w:rFonts w:cs="Arial"/>
                      <w:b w:val="0"/>
                      <w:sz w:val="20"/>
                      <w:szCs w:val="20"/>
                      <w:lang w:val="sl-SI" w:eastAsia="sl-SI"/>
                    </w:rPr>
                    <w:t>Kapitalski dobički in izgube so praviloma del rednega obdavčljivega dobička. Kapitalski dobički od prodaje deležev v rezidenčnih podjetjih in dobički od likvidacije podjetja so izvzeti iz obdavčitve, če udeležba zavezanca v tem podjetju znaša najmanj 10 % deležev neprekinjeno najmanj eno leto. Prevrednotenja sredstev in obveznosti zaradi tečajnih razlik (dobički in izgube) se na koncu vsakega leta obravnavajo kot realizirana in se vključijo v davčno osnovo. Prevrednotenje osnovnega kapitala ni dovoljeno.</w:t>
                  </w:r>
                </w:p>
                <w:p w14:paraId="66335261" w14:textId="77777777" w:rsidR="00F550B2" w:rsidRPr="00A37DA8" w:rsidRDefault="00F550B2" w:rsidP="00C7426A">
                  <w:pPr>
                    <w:pStyle w:val="Odstavekseznama1"/>
                    <w:spacing w:line="260" w:lineRule="exact"/>
                    <w:ind w:left="0"/>
                    <w:jc w:val="both"/>
                    <w:rPr>
                      <w:rFonts w:ascii="Arial" w:hAnsi="Arial" w:cs="Arial"/>
                      <w:color w:val="A6A6A6"/>
                      <w:sz w:val="20"/>
                      <w:szCs w:val="20"/>
                      <w:highlight w:val="yellow"/>
                    </w:rPr>
                  </w:pPr>
                </w:p>
                <w:p w14:paraId="66335262" w14:textId="77777777" w:rsidR="00F550B2" w:rsidRPr="00A37DA8" w:rsidRDefault="00F550B2" w:rsidP="00C7426A">
                  <w:pPr>
                    <w:pStyle w:val="Odstavekseznama1"/>
                    <w:spacing w:line="260" w:lineRule="exact"/>
                    <w:ind w:left="0"/>
                    <w:jc w:val="both"/>
                    <w:rPr>
                      <w:rFonts w:ascii="Arial" w:hAnsi="Arial" w:cs="Arial"/>
                      <w:color w:val="A6A6A6"/>
                      <w:sz w:val="20"/>
                      <w:szCs w:val="20"/>
                      <w:highlight w:val="yellow"/>
                    </w:rPr>
                  </w:pPr>
                </w:p>
              </w:tc>
            </w:tr>
            <w:tr w:rsidR="00F550B2" w:rsidRPr="00A37DA8" w14:paraId="66335265" w14:textId="77777777" w:rsidTr="00C7426A">
              <w:tc>
                <w:tcPr>
                  <w:tcW w:w="9213" w:type="dxa"/>
                </w:tcPr>
                <w:p w14:paraId="66335264" w14:textId="77777777" w:rsidR="00F550B2" w:rsidRPr="00A37DA8" w:rsidRDefault="00F550B2" w:rsidP="00C7426A">
                  <w:pPr>
                    <w:pStyle w:val="Oddelek"/>
                    <w:numPr>
                      <w:ilvl w:val="0"/>
                      <w:numId w:val="0"/>
                    </w:numPr>
                    <w:spacing w:before="0" w:after="0" w:line="260" w:lineRule="exact"/>
                    <w:jc w:val="left"/>
                    <w:rPr>
                      <w:rFonts w:cs="Arial"/>
                      <w:sz w:val="20"/>
                      <w:szCs w:val="20"/>
                      <w:lang w:val="sl-SI" w:eastAsia="sl-SI"/>
                    </w:rPr>
                  </w:pPr>
                  <w:r w:rsidRPr="00A37DA8">
                    <w:rPr>
                      <w:rFonts w:cs="Arial"/>
                      <w:sz w:val="20"/>
                      <w:szCs w:val="20"/>
                      <w:lang w:val="sl-SI" w:eastAsia="sl-SI"/>
                    </w:rPr>
                    <w:lastRenderedPageBreak/>
                    <w:t>6. PRESOJA POSLEDIC, KI JIH BO IMEL SPREJEM ZAKONA</w:t>
                  </w:r>
                </w:p>
              </w:tc>
            </w:tr>
            <w:tr w:rsidR="00F550B2" w:rsidRPr="00A37DA8" w14:paraId="66335268" w14:textId="77777777" w:rsidTr="00C7426A">
              <w:tc>
                <w:tcPr>
                  <w:tcW w:w="9213" w:type="dxa"/>
                </w:tcPr>
                <w:p w14:paraId="66335266" w14:textId="77777777" w:rsidR="00F550B2" w:rsidRPr="00A37DA8" w:rsidRDefault="00F550B2" w:rsidP="00C7426A">
                  <w:pPr>
                    <w:pStyle w:val="Odsek"/>
                    <w:numPr>
                      <w:ilvl w:val="0"/>
                      <w:numId w:val="0"/>
                    </w:numPr>
                    <w:spacing w:before="0" w:after="0" w:line="260" w:lineRule="exact"/>
                    <w:jc w:val="left"/>
                    <w:rPr>
                      <w:rFonts w:cs="Arial"/>
                      <w:sz w:val="20"/>
                      <w:szCs w:val="20"/>
                      <w:lang w:val="sl-SI" w:eastAsia="sl-SI"/>
                    </w:rPr>
                  </w:pPr>
                  <w:r w:rsidRPr="00A37DA8">
                    <w:rPr>
                      <w:rFonts w:cs="Arial"/>
                      <w:sz w:val="20"/>
                      <w:szCs w:val="20"/>
                      <w:lang w:val="sl-SI" w:eastAsia="sl-SI"/>
                    </w:rPr>
                    <w:t xml:space="preserve">6.1 Presoja administrativnih posledic </w:t>
                  </w:r>
                </w:p>
                <w:p w14:paraId="66335267" w14:textId="77777777" w:rsidR="00F550B2" w:rsidRPr="00A37DA8" w:rsidRDefault="00F550B2" w:rsidP="00C7426A">
                  <w:pPr>
                    <w:pStyle w:val="Odsek"/>
                    <w:numPr>
                      <w:ilvl w:val="0"/>
                      <w:numId w:val="0"/>
                    </w:numPr>
                    <w:spacing w:before="0" w:after="0" w:line="260" w:lineRule="exact"/>
                    <w:jc w:val="left"/>
                    <w:rPr>
                      <w:rFonts w:cs="Arial"/>
                      <w:sz w:val="20"/>
                      <w:szCs w:val="20"/>
                      <w:lang w:val="sl-SI" w:eastAsia="sl-SI"/>
                    </w:rPr>
                  </w:pPr>
                  <w:r w:rsidRPr="00A37DA8">
                    <w:rPr>
                      <w:rFonts w:cs="Arial"/>
                      <w:sz w:val="20"/>
                      <w:szCs w:val="20"/>
                      <w:lang w:val="sl-SI" w:eastAsia="sl-SI"/>
                    </w:rPr>
                    <w:t xml:space="preserve">a) v postopkih oziroma poslovanju javne uprave ali pravosodnih organov: </w:t>
                  </w:r>
                </w:p>
              </w:tc>
            </w:tr>
            <w:tr w:rsidR="00F550B2" w:rsidRPr="00A37DA8" w14:paraId="6633526E" w14:textId="77777777" w:rsidTr="00C7426A">
              <w:tc>
                <w:tcPr>
                  <w:tcW w:w="9213" w:type="dxa"/>
                </w:tcPr>
                <w:p w14:paraId="66335269"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Naloge v zvezi s plačevanjem in obračunavanjem davka na strani države ter posledično z nadzorom bo opravljala Finančna uprava RS. Predlog zakona ne bo imel povečanih administrativnih posledic v postopkih oziroma pri poslovanju davčnega organa.</w:t>
                  </w:r>
                </w:p>
                <w:p w14:paraId="6633526A" w14:textId="77777777" w:rsidR="00F550B2" w:rsidRPr="00A37DA8" w:rsidRDefault="00F550B2" w:rsidP="00C7426A">
                  <w:pPr>
                    <w:pStyle w:val="Alineazaodstavkom"/>
                    <w:numPr>
                      <w:ilvl w:val="0"/>
                      <w:numId w:val="0"/>
                    </w:numPr>
                    <w:spacing w:line="260" w:lineRule="exact"/>
                    <w:ind w:left="709"/>
                    <w:rPr>
                      <w:rFonts w:cs="Arial"/>
                      <w:sz w:val="20"/>
                      <w:szCs w:val="20"/>
                      <w:lang w:val="sl-SI" w:eastAsia="sl-SI"/>
                    </w:rPr>
                  </w:pPr>
                </w:p>
                <w:p w14:paraId="6633526B" w14:textId="77777777" w:rsidR="00F550B2" w:rsidRPr="00A37DA8" w:rsidRDefault="00F550B2" w:rsidP="00C7426A">
                  <w:pPr>
                    <w:pStyle w:val="rkovnatokazaodstavkom"/>
                    <w:numPr>
                      <w:ilvl w:val="0"/>
                      <w:numId w:val="0"/>
                    </w:numPr>
                    <w:spacing w:line="260" w:lineRule="exact"/>
                    <w:rPr>
                      <w:rFonts w:cs="Arial"/>
                      <w:b/>
                      <w:sz w:val="20"/>
                      <w:szCs w:val="20"/>
                      <w:lang w:eastAsia="sl-SI"/>
                    </w:rPr>
                  </w:pPr>
                  <w:r w:rsidRPr="00A37DA8">
                    <w:rPr>
                      <w:rFonts w:cs="Arial"/>
                      <w:b/>
                      <w:sz w:val="20"/>
                      <w:szCs w:val="20"/>
                      <w:lang w:eastAsia="sl-SI"/>
                    </w:rPr>
                    <w:t>b) pri obveznostih strank do javne uprave ali pravosodnih organov:</w:t>
                  </w:r>
                </w:p>
                <w:p w14:paraId="6633526C"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Davčni zavezanci bodo učinke na davčno osnovo ugotavljali enako kot doslej, to je kot posebne postavke davčnega obračuna davka od dohodkov pravnih oseb.</w:t>
                  </w:r>
                  <w:r w:rsidRPr="00A37DA8">
                    <w:rPr>
                      <w:rFonts w:ascii="Arial" w:eastAsia="Times New Roman" w:hAnsi="Arial" w:cs="Arial"/>
                      <w:b/>
                      <w:sz w:val="20"/>
                      <w:szCs w:val="20"/>
                      <w:lang w:eastAsia="sl-SI"/>
                    </w:rPr>
                    <w:t xml:space="preserve"> </w:t>
                  </w:r>
                  <w:r w:rsidRPr="00A37DA8">
                    <w:rPr>
                      <w:rFonts w:ascii="Arial" w:eastAsia="Times New Roman" w:hAnsi="Arial" w:cs="Arial"/>
                      <w:sz w:val="20"/>
                      <w:szCs w:val="20"/>
                      <w:lang w:eastAsia="sl-SI"/>
                    </w:rPr>
                    <w:t>Predlog zakona torej ne bo imel povečanih administrativnih posledic za obveznosti davčnih zavezancev do davčnega organa.</w:t>
                  </w:r>
                </w:p>
                <w:p w14:paraId="6633526D" w14:textId="77777777" w:rsidR="00F550B2" w:rsidRPr="00A37DA8" w:rsidRDefault="00F550B2" w:rsidP="00C7426A">
                  <w:pPr>
                    <w:pStyle w:val="Alineazaodstavkom"/>
                    <w:numPr>
                      <w:ilvl w:val="0"/>
                      <w:numId w:val="0"/>
                    </w:numPr>
                    <w:spacing w:line="260" w:lineRule="exact"/>
                    <w:rPr>
                      <w:rFonts w:cs="Arial"/>
                      <w:sz w:val="20"/>
                      <w:szCs w:val="20"/>
                      <w:lang w:val="sl-SI" w:eastAsia="sl-SI"/>
                    </w:rPr>
                  </w:pPr>
                </w:p>
              </w:tc>
            </w:tr>
            <w:tr w:rsidR="00F550B2" w:rsidRPr="00A37DA8" w14:paraId="66335270" w14:textId="77777777" w:rsidTr="00C7426A">
              <w:tc>
                <w:tcPr>
                  <w:tcW w:w="9213" w:type="dxa"/>
                </w:tcPr>
                <w:p w14:paraId="6633526F" w14:textId="77777777" w:rsidR="00F550B2" w:rsidRPr="00A37DA8" w:rsidRDefault="00F550B2" w:rsidP="00C7426A">
                  <w:pPr>
                    <w:pStyle w:val="Odsek"/>
                    <w:numPr>
                      <w:ilvl w:val="0"/>
                      <w:numId w:val="0"/>
                    </w:numPr>
                    <w:spacing w:before="0" w:after="0" w:line="260" w:lineRule="exact"/>
                    <w:jc w:val="left"/>
                    <w:rPr>
                      <w:rFonts w:cs="Arial"/>
                      <w:sz w:val="20"/>
                      <w:szCs w:val="20"/>
                      <w:lang w:val="sl-SI" w:eastAsia="sl-SI"/>
                    </w:rPr>
                  </w:pPr>
                  <w:r w:rsidRPr="00A37DA8">
                    <w:rPr>
                      <w:rFonts w:cs="Arial"/>
                      <w:sz w:val="20"/>
                      <w:szCs w:val="20"/>
                      <w:lang w:val="sl-SI" w:eastAsia="sl-SI"/>
                    </w:rPr>
                    <w:t>6.2 Presoja posledic za okolje, vključno s prostorskimi in varstvenimi vidiki, in sicer za:</w:t>
                  </w:r>
                </w:p>
              </w:tc>
            </w:tr>
            <w:tr w:rsidR="00F550B2" w:rsidRPr="00A37DA8" w14:paraId="66335273" w14:textId="77777777" w:rsidTr="00C7426A">
              <w:tc>
                <w:tcPr>
                  <w:tcW w:w="9213" w:type="dxa"/>
                </w:tcPr>
                <w:p w14:paraId="66335271" w14:textId="77777777" w:rsidR="00F550B2" w:rsidRPr="00A37DA8" w:rsidRDefault="00F550B2" w:rsidP="00C7426A">
                  <w:pPr>
                    <w:pStyle w:val="Alineazatoko"/>
                    <w:spacing w:line="260" w:lineRule="exact"/>
                    <w:ind w:left="0" w:firstLine="0"/>
                    <w:rPr>
                      <w:rFonts w:cs="Arial"/>
                      <w:sz w:val="20"/>
                      <w:szCs w:val="20"/>
                      <w:lang w:val="sl-SI" w:eastAsia="sl-SI"/>
                    </w:rPr>
                  </w:pPr>
                  <w:r w:rsidRPr="00A37DA8">
                    <w:rPr>
                      <w:rFonts w:cs="Arial"/>
                      <w:sz w:val="20"/>
                      <w:szCs w:val="20"/>
                      <w:lang w:val="sl-SI" w:eastAsia="sl-SI"/>
                    </w:rPr>
                    <w:t>Predlog zakona ne vpliva na okolje.</w:t>
                  </w:r>
                </w:p>
                <w:p w14:paraId="66335272" w14:textId="77777777" w:rsidR="00F550B2" w:rsidRPr="00A37DA8" w:rsidRDefault="00F550B2" w:rsidP="00C7426A">
                  <w:pPr>
                    <w:pStyle w:val="Alineazatoko"/>
                    <w:spacing w:line="260" w:lineRule="exact"/>
                    <w:ind w:left="0" w:firstLine="0"/>
                    <w:rPr>
                      <w:rFonts w:cs="Arial"/>
                      <w:sz w:val="20"/>
                      <w:szCs w:val="20"/>
                      <w:lang w:val="sl-SI" w:eastAsia="sl-SI"/>
                    </w:rPr>
                  </w:pPr>
                </w:p>
              </w:tc>
            </w:tr>
            <w:tr w:rsidR="00F550B2" w:rsidRPr="00A37DA8" w14:paraId="66335275" w14:textId="77777777" w:rsidTr="00C7426A">
              <w:tc>
                <w:tcPr>
                  <w:tcW w:w="9213" w:type="dxa"/>
                </w:tcPr>
                <w:p w14:paraId="66335274" w14:textId="77777777" w:rsidR="00F550B2" w:rsidRPr="00A37DA8" w:rsidRDefault="00F550B2" w:rsidP="00C7426A">
                  <w:pPr>
                    <w:pStyle w:val="Odsek"/>
                    <w:numPr>
                      <w:ilvl w:val="0"/>
                      <w:numId w:val="0"/>
                    </w:numPr>
                    <w:spacing w:before="0" w:after="0" w:line="260" w:lineRule="exact"/>
                    <w:jc w:val="left"/>
                    <w:rPr>
                      <w:rFonts w:cs="Arial"/>
                      <w:sz w:val="20"/>
                      <w:szCs w:val="20"/>
                      <w:lang w:val="sl-SI" w:eastAsia="sl-SI"/>
                    </w:rPr>
                  </w:pPr>
                  <w:r w:rsidRPr="00A37DA8">
                    <w:rPr>
                      <w:rFonts w:cs="Arial"/>
                      <w:sz w:val="20"/>
                      <w:szCs w:val="20"/>
                      <w:lang w:val="sl-SI" w:eastAsia="sl-SI"/>
                    </w:rPr>
                    <w:t>6.3 Presoja posledic za gospodarstvo, in sicer za:</w:t>
                  </w:r>
                </w:p>
              </w:tc>
            </w:tr>
            <w:tr w:rsidR="00F550B2" w:rsidRPr="00A37DA8" w14:paraId="6633527C" w14:textId="77777777" w:rsidTr="00C7426A">
              <w:tc>
                <w:tcPr>
                  <w:tcW w:w="9213" w:type="dxa"/>
                </w:tcPr>
                <w:p w14:paraId="66335276"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Predlog zakona ima vpliv na izjemno majhen delež zavezancev, saj je iz podatkov razbrati, da je v sistemu le okoli 1 % vseh zavezancev, ki so oddali obračun davka od dohodkov pravnih oseb oz. se je v letu 2016 za navedeni sistem odločilo le okoli 3 % vseh zavezancev, ki bi lahko vstopili v ta sistem.</w:t>
                  </w:r>
                </w:p>
                <w:p w14:paraId="66335277"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6335278"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 xml:space="preserve">Nekateri zavezanci zaradi prenovljenih pogojev ne bodo več izpolnjevali pogojev za ugotavljanje davčne osnove z upoštevanjem normiranih odhodkov in bodo morali obvezno izstopiti iz sistema. Prenovljen sistem pa bo tudi finančno manj ugoden, saj se znižuje odstotek normiranih odhodkov in dodaja omejitev z absolutno višino normiranih odhodkov. </w:t>
                  </w:r>
                </w:p>
                <w:p w14:paraId="66335279"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633527A"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Dopolnitev zakona zaradi spremembe MSRP 9 nevtralizira učinke spremenjenih računovodskih pravil in ne bo imela posledic za gospodarstvo.</w:t>
                  </w:r>
                </w:p>
                <w:p w14:paraId="6633527B"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hAnsi="Arial" w:cs="Arial"/>
                      <w:sz w:val="20"/>
                      <w:szCs w:val="20"/>
                      <w:lang w:eastAsia="sl-SI"/>
                    </w:rPr>
                  </w:pPr>
                </w:p>
              </w:tc>
            </w:tr>
            <w:tr w:rsidR="00F550B2" w:rsidRPr="00A37DA8" w14:paraId="6633527F" w14:textId="77777777" w:rsidTr="00C7426A">
              <w:tc>
                <w:tcPr>
                  <w:tcW w:w="9213" w:type="dxa"/>
                </w:tcPr>
                <w:p w14:paraId="6633527D" w14:textId="77777777" w:rsidR="00F550B2" w:rsidRPr="00A37DA8" w:rsidRDefault="00F550B2" w:rsidP="00C7426A">
                  <w:pPr>
                    <w:pStyle w:val="Odsek"/>
                    <w:numPr>
                      <w:ilvl w:val="0"/>
                      <w:numId w:val="0"/>
                    </w:numPr>
                    <w:spacing w:before="0" w:after="0" w:line="260" w:lineRule="exact"/>
                    <w:jc w:val="left"/>
                    <w:rPr>
                      <w:rFonts w:cs="Arial"/>
                      <w:sz w:val="20"/>
                      <w:szCs w:val="20"/>
                      <w:lang w:val="sl-SI" w:eastAsia="sl-SI"/>
                    </w:rPr>
                  </w:pPr>
                  <w:r w:rsidRPr="00A37DA8">
                    <w:rPr>
                      <w:rFonts w:cs="Arial"/>
                      <w:sz w:val="20"/>
                      <w:szCs w:val="20"/>
                      <w:lang w:val="sl-SI" w:eastAsia="sl-SI"/>
                    </w:rPr>
                    <w:t>6.4 Presoja posledic za socialno področje, in sicer za:</w:t>
                  </w:r>
                </w:p>
                <w:p w14:paraId="6633527E" w14:textId="77777777" w:rsidR="00F550B2" w:rsidRPr="00A37DA8" w:rsidRDefault="00F550B2" w:rsidP="00C7426A">
                  <w:pPr>
                    <w:pStyle w:val="Odsek"/>
                    <w:numPr>
                      <w:ilvl w:val="0"/>
                      <w:numId w:val="0"/>
                    </w:numPr>
                    <w:spacing w:before="0" w:after="0" w:line="260" w:lineRule="exact"/>
                    <w:jc w:val="both"/>
                    <w:rPr>
                      <w:rFonts w:cs="Arial"/>
                      <w:b w:val="0"/>
                      <w:sz w:val="20"/>
                      <w:szCs w:val="20"/>
                      <w:lang w:val="sl-SI" w:eastAsia="sl-SI"/>
                    </w:rPr>
                  </w:pPr>
                  <w:r w:rsidRPr="00A37DA8">
                    <w:rPr>
                      <w:rFonts w:cs="Arial"/>
                      <w:b w:val="0"/>
                      <w:sz w:val="20"/>
                      <w:szCs w:val="20"/>
                      <w:lang w:val="sl-SI" w:eastAsia="sl-SI"/>
                    </w:rPr>
                    <w:t>Predlog zakona nima vpliva za socialno področje.</w:t>
                  </w:r>
                  <w:r w:rsidRPr="00A37DA8">
                    <w:rPr>
                      <w:rFonts w:cs="Arial"/>
                      <w:sz w:val="20"/>
                      <w:szCs w:val="20"/>
                      <w:lang w:val="sl-SI" w:eastAsia="sl-SI"/>
                    </w:rPr>
                    <w:t xml:space="preserve"> </w:t>
                  </w:r>
                </w:p>
              </w:tc>
            </w:tr>
            <w:tr w:rsidR="00F550B2" w:rsidRPr="00A37DA8" w14:paraId="66335281" w14:textId="77777777" w:rsidTr="00C7426A">
              <w:tc>
                <w:tcPr>
                  <w:tcW w:w="9213" w:type="dxa"/>
                </w:tcPr>
                <w:p w14:paraId="66335280" w14:textId="77777777" w:rsidR="00F550B2" w:rsidRPr="00A37DA8" w:rsidRDefault="00F550B2" w:rsidP="00C7426A">
                  <w:pPr>
                    <w:pStyle w:val="Oddelek"/>
                    <w:numPr>
                      <w:ilvl w:val="0"/>
                      <w:numId w:val="0"/>
                    </w:numPr>
                    <w:spacing w:before="0" w:after="0" w:line="260" w:lineRule="exact"/>
                    <w:jc w:val="both"/>
                    <w:rPr>
                      <w:rFonts w:cs="Arial"/>
                      <w:sz w:val="20"/>
                      <w:szCs w:val="20"/>
                      <w:lang w:val="sl-SI" w:eastAsia="sl-SI"/>
                    </w:rPr>
                  </w:pPr>
                </w:p>
              </w:tc>
            </w:tr>
            <w:tr w:rsidR="00F550B2" w:rsidRPr="00A37DA8" w14:paraId="66335283" w14:textId="77777777" w:rsidTr="00C7426A">
              <w:tc>
                <w:tcPr>
                  <w:tcW w:w="9213" w:type="dxa"/>
                </w:tcPr>
                <w:p w14:paraId="66335282" w14:textId="77777777" w:rsidR="00F550B2" w:rsidRPr="00A37DA8" w:rsidRDefault="00F550B2" w:rsidP="00C7426A">
                  <w:pPr>
                    <w:pStyle w:val="Odsek"/>
                    <w:numPr>
                      <w:ilvl w:val="0"/>
                      <w:numId w:val="0"/>
                    </w:numPr>
                    <w:spacing w:before="0" w:after="0" w:line="260" w:lineRule="exact"/>
                    <w:jc w:val="left"/>
                    <w:rPr>
                      <w:rFonts w:cs="Arial"/>
                      <w:sz w:val="20"/>
                      <w:szCs w:val="20"/>
                      <w:lang w:val="sl-SI" w:eastAsia="sl-SI"/>
                    </w:rPr>
                  </w:pPr>
                  <w:r w:rsidRPr="00A37DA8">
                    <w:rPr>
                      <w:rFonts w:cs="Arial"/>
                      <w:sz w:val="20"/>
                      <w:szCs w:val="20"/>
                      <w:lang w:val="sl-SI" w:eastAsia="sl-SI"/>
                    </w:rPr>
                    <w:t>6.5 Presoja posledic za dokumente razvojnega načrtovanja, in sicer za:</w:t>
                  </w:r>
                </w:p>
              </w:tc>
            </w:tr>
            <w:tr w:rsidR="00F550B2" w:rsidRPr="00A37DA8" w14:paraId="66335289" w14:textId="77777777" w:rsidTr="00C7426A">
              <w:tc>
                <w:tcPr>
                  <w:tcW w:w="9213" w:type="dxa"/>
                </w:tcPr>
                <w:p w14:paraId="66335284" w14:textId="77777777" w:rsidR="00F550B2" w:rsidRPr="00A37DA8" w:rsidRDefault="00F550B2" w:rsidP="00C7426A">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37DA8">
                    <w:rPr>
                      <w:rFonts w:ascii="Arial" w:eastAsia="Times New Roman" w:hAnsi="Arial" w:cs="Arial"/>
                      <w:sz w:val="20"/>
                      <w:szCs w:val="20"/>
                      <w:lang w:eastAsia="sl-SI"/>
                    </w:rPr>
                    <w:t>Predlog zakona ne vpliva na dokumente razvojnega načrtovanja.</w:t>
                  </w:r>
                </w:p>
                <w:p w14:paraId="66335285" w14:textId="77777777" w:rsidR="00F550B2" w:rsidRPr="00A37DA8" w:rsidRDefault="00F550B2" w:rsidP="00C7426A">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66335286" w14:textId="77777777" w:rsidR="00F550B2" w:rsidRPr="00A37DA8" w:rsidRDefault="00F550B2" w:rsidP="00C7426A">
                  <w:pPr>
                    <w:pStyle w:val="Alineazaodstavkom"/>
                    <w:numPr>
                      <w:ilvl w:val="0"/>
                      <w:numId w:val="0"/>
                    </w:numPr>
                    <w:spacing w:line="260" w:lineRule="exact"/>
                    <w:rPr>
                      <w:rFonts w:cs="Arial"/>
                      <w:b/>
                      <w:sz w:val="20"/>
                      <w:szCs w:val="20"/>
                      <w:lang w:val="sl-SI" w:eastAsia="sl-SI"/>
                    </w:rPr>
                  </w:pPr>
                  <w:r w:rsidRPr="00A37DA8">
                    <w:rPr>
                      <w:rFonts w:cs="Arial"/>
                      <w:b/>
                      <w:sz w:val="20"/>
                      <w:szCs w:val="20"/>
                      <w:lang w:val="sl-SI" w:eastAsia="sl-SI"/>
                    </w:rPr>
                    <w:t>6.6 Presoja posledic za druga področja</w:t>
                  </w:r>
                </w:p>
                <w:p w14:paraId="66335287" w14:textId="77777777" w:rsidR="00F550B2" w:rsidRPr="00A37DA8" w:rsidRDefault="00F550B2" w:rsidP="00C7426A">
                  <w:pPr>
                    <w:pStyle w:val="Alineazaodstavkom"/>
                    <w:numPr>
                      <w:ilvl w:val="0"/>
                      <w:numId w:val="0"/>
                    </w:numPr>
                    <w:spacing w:line="260" w:lineRule="exact"/>
                    <w:rPr>
                      <w:rFonts w:cs="Arial"/>
                      <w:sz w:val="20"/>
                      <w:szCs w:val="20"/>
                      <w:lang w:val="sl-SI" w:eastAsia="sl-SI"/>
                    </w:rPr>
                  </w:pPr>
                  <w:r w:rsidRPr="00A37DA8">
                    <w:rPr>
                      <w:rFonts w:cs="Arial"/>
                      <w:sz w:val="20"/>
                      <w:szCs w:val="20"/>
                      <w:lang w:val="sl-SI" w:eastAsia="sl-SI"/>
                    </w:rPr>
                    <w:t>Predlog zakona ne vpliva na druga področja.</w:t>
                  </w:r>
                </w:p>
                <w:p w14:paraId="66335288" w14:textId="77777777" w:rsidR="00F550B2" w:rsidRPr="00A37DA8" w:rsidRDefault="00F550B2" w:rsidP="00C7426A">
                  <w:pPr>
                    <w:pStyle w:val="Alineazaodstavkom"/>
                    <w:numPr>
                      <w:ilvl w:val="0"/>
                      <w:numId w:val="0"/>
                    </w:numPr>
                    <w:spacing w:line="260" w:lineRule="exact"/>
                    <w:rPr>
                      <w:rFonts w:cs="Arial"/>
                      <w:b/>
                      <w:sz w:val="20"/>
                      <w:szCs w:val="20"/>
                      <w:lang w:val="sl-SI" w:eastAsia="sl-SI"/>
                    </w:rPr>
                  </w:pPr>
                </w:p>
              </w:tc>
            </w:tr>
            <w:tr w:rsidR="00F550B2" w:rsidRPr="00A37DA8" w14:paraId="6633528B" w14:textId="77777777" w:rsidTr="00C7426A">
              <w:tc>
                <w:tcPr>
                  <w:tcW w:w="9213" w:type="dxa"/>
                </w:tcPr>
                <w:p w14:paraId="6633528A" w14:textId="77777777" w:rsidR="00F550B2" w:rsidRPr="00A37DA8" w:rsidRDefault="00F550B2" w:rsidP="00C7426A">
                  <w:pPr>
                    <w:pStyle w:val="Odsek"/>
                    <w:numPr>
                      <w:ilvl w:val="0"/>
                      <w:numId w:val="0"/>
                    </w:numPr>
                    <w:spacing w:before="0" w:after="0" w:line="260" w:lineRule="exact"/>
                    <w:jc w:val="left"/>
                    <w:rPr>
                      <w:rFonts w:cs="Arial"/>
                      <w:sz w:val="20"/>
                      <w:szCs w:val="20"/>
                      <w:lang w:val="sl-SI" w:eastAsia="sl-SI"/>
                    </w:rPr>
                  </w:pPr>
                  <w:r w:rsidRPr="00A37DA8">
                    <w:rPr>
                      <w:rFonts w:cs="Arial"/>
                      <w:sz w:val="20"/>
                      <w:szCs w:val="20"/>
                      <w:lang w:val="sl-SI" w:eastAsia="sl-SI"/>
                    </w:rPr>
                    <w:t>6.7 Izvajanje sprejetega predpisa:</w:t>
                  </w:r>
                </w:p>
              </w:tc>
            </w:tr>
            <w:tr w:rsidR="00F550B2" w:rsidRPr="00A37DA8" w14:paraId="66335292" w14:textId="77777777" w:rsidTr="00C7426A">
              <w:tc>
                <w:tcPr>
                  <w:tcW w:w="9213" w:type="dxa"/>
                </w:tcPr>
                <w:p w14:paraId="6633528C" w14:textId="77777777" w:rsidR="00F550B2" w:rsidRPr="00A37DA8" w:rsidRDefault="00F550B2" w:rsidP="00F550B2">
                  <w:pPr>
                    <w:pStyle w:val="rkovnatokazaodstavkom"/>
                    <w:numPr>
                      <w:ilvl w:val="0"/>
                      <w:numId w:val="5"/>
                    </w:numPr>
                    <w:spacing w:line="260" w:lineRule="exact"/>
                    <w:rPr>
                      <w:rFonts w:cs="Arial"/>
                      <w:sz w:val="20"/>
                      <w:szCs w:val="20"/>
                      <w:lang w:eastAsia="sl-SI"/>
                    </w:rPr>
                  </w:pPr>
                  <w:r w:rsidRPr="00A37DA8">
                    <w:rPr>
                      <w:rFonts w:cs="Arial"/>
                      <w:sz w:val="20"/>
                      <w:szCs w:val="20"/>
                      <w:lang w:eastAsia="sl-SI"/>
                    </w:rPr>
                    <w:t>Predstavitev sprejetega zakona:</w:t>
                  </w:r>
                </w:p>
                <w:p w14:paraId="6633528D" w14:textId="77777777" w:rsidR="00F550B2" w:rsidRPr="00A37DA8" w:rsidRDefault="00F550B2" w:rsidP="00C7426A">
                  <w:pPr>
                    <w:pStyle w:val="Oddelek"/>
                    <w:numPr>
                      <w:ilvl w:val="0"/>
                      <w:numId w:val="0"/>
                    </w:numPr>
                    <w:spacing w:before="0" w:after="0" w:line="260" w:lineRule="exact"/>
                    <w:jc w:val="both"/>
                    <w:rPr>
                      <w:rFonts w:cs="Arial"/>
                      <w:b w:val="0"/>
                      <w:sz w:val="20"/>
                      <w:szCs w:val="20"/>
                      <w:lang w:val="sl-SI" w:eastAsia="sl-SI"/>
                    </w:rPr>
                  </w:pPr>
                  <w:r w:rsidRPr="00A37DA8">
                    <w:rPr>
                      <w:rFonts w:cs="Arial"/>
                      <w:b w:val="0"/>
                      <w:sz w:val="20"/>
                      <w:szCs w:val="20"/>
                      <w:lang w:val="sl-SI" w:eastAsia="sl-SI"/>
                    </w:rPr>
                    <w:t xml:space="preserve">Za izvajanje zakona je pristojna Finančna uprava Republike Slovenije, ki bo na običajen način </w:t>
                  </w:r>
                  <w:r w:rsidRPr="00A37DA8">
                    <w:rPr>
                      <w:rFonts w:cs="Arial"/>
                      <w:b w:val="0"/>
                      <w:sz w:val="20"/>
                      <w:szCs w:val="20"/>
                      <w:lang w:val="sl-SI" w:eastAsia="sl-SI"/>
                    </w:rPr>
                    <w:lastRenderedPageBreak/>
                    <w:t>poskrbela tudi za obveščanje zavezancev o novostih v predlogu zakona. Za izvajanje predpisa pa bodo potrebne manjše spremembe veljavnega Pravilnika o davčnem obračunu davka od dohodkov pravnih oseb (Uradni list RS, št. 109/13, 83/14 in 101/15).</w:t>
                  </w:r>
                </w:p>
                <w:p w14:paraId="6633528E" w14:textId="77777777" w:rsidR="00F550B2" w:rsidRPr="00A37DA8" w:rsidRDefault="00F550B2" w:rsidP="00C7426A">
                  <w:pPr>
                    <w:pStyle w:val="Oddelek"/>
                    <w:numPr>
                      <w:ilvl w:val="0"/>
                      <w:numId w:val="0"/>
                    </w:numPr>
                    <w:spacing w:before="0" w:after="0" w:line="260" w:lineRule="exact"/>
                    <w:jc w:val="both"/>
                    <w:rPr>
                      <w:rFonts w:cs="Arial"/>
                      <w:b w:val="0"/>
                      <w:sz w:val="20"/>
                      <w:szCs w:val="20"/>
                      <w:lang w:val="sl-SI" w:eastAsia="sl-SI"/>
                    </w:rPr>
                  </w:pPr>
                </w:p>
                <w:p w14:paraId="6633528F" w14:textId="77777777" w:rsidR="00F550B2" w:rsidRPr="00A37DA8" w:rsidRDefault="00F550B2" w:rsidP="00F550B2">
                  <w:pPr>
                    <w:pStyle w:val="rkovnatokazaodstavkom"/>
                    <w:numPr>
                      <w:ilvl w:val="0"/>
                      <w:numId w:val="5"/>
                    </w:numPr>
                    <w:spacing w:line="260" w:lineRule="exact"/>
                    <w:rPr>
                      <w:rFonts w:cs="Arial"/>
                      <w:sz w:val="20"/>
                      <w:szCs w:val="20"/>
                      <w:lang w:eastAsia="sl-SI"/>
                    </w:rPr>
                  </w:pPr>
                  <w:r w:rsidRPr="00A37DA8">
                    <w:rPr>
                      <w:rFonts w:cs="Arial"/>
                      <w:sz w:val="20"/>
                      <w:szCs w:val="20"/>
                      <w:lang w:eastAsia="sl-SI"/>
                    </w:rPr>
                    <w:t>Spremljanje izvajanja sprejetega predpisa:</w:t>
                  </w:r>
                </w:p>
                <w:p w14:paraId="66335290" w14:textId="77777777" w:rsidR="00F550B2" w:rsidRPr="00A37DA8" w:rsidRDefault="00F550B2" w:rsidP="00C7426A">
                  <w:pPr>
                    <w:pStyle w:val="Alineazatoko"/>
                    <w:spacing w:line="260" w:lineRule="exact"/>
                    <w:ind w:left="0" w:firstLine="0"/>
                    <w:rPr>
                      <w:rFonts w:cs="Arial"/>
                      <w:sz w:val="20"/>
                      <w:szCs w:val="20"/>
                      <w:lang w:val="sl-SI" w:eastAsia="sl-SI"/>
                    </w:rPr>
                  </w:pPr>
                  <w:r w:rsidRPr="00A37DA8">
                    <w:rPr>
                      <w:rFonts w:cs="Arial"/>
                      <w:sz w:val="20"/>
                      <w:szCs w:val="20"/>
                      <w:lang w:val="sl-SI" w:eastAsia="sl-SI"/>
                    </w:rPr>
                    <w:t>Izvajanje zakona spremlja Ministrstvo za finance v skladu s svojimi pristojnostmi.</w:t>
                  </w:r>
                </w:p>
                <w:p w14:paraId="66335291" w14:textId="77777777" w:rsidR="00F550B2" w:rsidRPr="00A37DA8" w:rsidRDefault="00F550B2" w:rsidP="00C7426A">
                  <w:pPr>
                    <w:pStyle w:val="Alineazatoko"/>
                    <w:spacing w:line="260" w:lineRule="exact"/>
                    <w:ind w:left="0" w:firstLine="0"/>
                    <w:rPr>
                      <w:rFonts w:cs="Arial"/>
                      <w:sz w:val="20"/>
                      <w:szCs w:val="20"/>
                      <w:lang w:val="sl-SI" w:eastAsia="sl-SI"/>
                    </w:rPr>
                  </w:pPr>
                  <w:r w:rsidRPr="00A37DA8">
                    <w:rPr>
                      <w:rFonts w:cs="Arial"/>
                      <w:color w:val="A6A6A6"/>
                      <w:sz w:val="20"/>
                      <w:szCs w:val="20"/>
                      <w:lang w:val="sl-SI" w:eastAsia="sl-SI"/>
                    </w:rPr>
                    <w:t>.</w:t>
                  </w:r>
                </w:p>
              </w:tc>
            </w:tr>
            <w:tr w:rsidR="00F550B2" w:rsidRPr="00A37DA8" w14:paraId="6633529C" w14:textId="77777777" w:rsidTr="00C7426A">
              <w:tc>
                <w:tcPr>
                  <w:tcW w:w="9213" w:type="dxa"/>
                </w:tcPr>
                <w:p w14:paraId="66335293" w14:textId="77777777" w:rsidR="00F550B2" w:rsidRPr="00A37DA8" w:rsidRDefault="00F550B2" w:rsidP="00C7426A">
                  <w:pPr>
                    <w:pStyle w:val="Odsek"/>
                    <w:numPr>
                      <w:ilvl w:val="0"/>
                      <w:numId w:val="0"/>
                    </w:numPr>
                    <w:spacing w:before="0" w:after="0" w:line="260" w:lineRule="exact"/>
                    <w:jc w:val="left"/>
                    <w:rPr>
                      <w:rFonts w:cs="Arial"/>
                      <w:sz w:val="20"/>
                      <w:szCs w:val="20"/>
                      <w:lang w:val="sl-SI" w:eastAsia="sl-SI"/>
                    </w:rPr>
                  </w:pPr>
                  <w:r w:rsidRPr="00A37DA8">
                    <w:rPr>
                      <w:rFonts w:cs="Arial"/>
                      <w:sz w:val="20"/>
                      <w:szCs w:val="20"/>
                      <w:lang w:val="sl-SI" w:eastAsia="sl-SI"/>
                    </w:rPr>
                    <w:lastRenderedPageBreak/>
                    <w:t>6.8 Druge pomembne okoliščine v zvezi z vprašanji, ki jih ureja predlog zakona:</w:t>
                  </w:r>
                </w:p>
                <w:p w14:paraId="66335294" w14:textId="77777777" w:rsidR="00F550B2" w:rsidRPr="00A37DA8" w:rsidRDefault="00F550B2" w:rsidP="00C7426A">
                  <w:pPr>
                    <w:pStyle w:val="Alineazaodstavkom"/>
                    <w:numPr>
                      <w:ilvl w:val="0"/>
                      <w:numId w:val="0"/>
                    </w:numPr>
                    <w:spacing w:line="260" w:lineRule="exact"/>
                    <w:ind w:left="709" w:hanging="284"/>
                    <w:rPr>
                      <w:rFonts w:eastAsia="@Arial Unicode MS" w:cs="Arial"/>
                      <w:iCs/>
                      <w:sz w:val="20"/>
                      <w:szCs w:val="20"/>
                      <w:lang w:val="sl-SI" w:eastAsia="sl-SI"/>
                    </w:rPr>
                  </w:pPr>
                  <w:r w:rsidRPr="00A37DA8">
                    <w:rPr>
                      <w:rFonts w:eastAsia="@Arial Unicode MS" w:cs="Arial"/>
                      <w:iCs/>
                      <w:sz w:val="20"/>
                      <w:szCs w:val="20"/>
                      <w:lang w:val="sl-SI" w:eastAsia="sl-SI"/>
                    </w:rPr>
                    <w:t>/</w:t>
                  </w:r>
                </w:p>
                <w:p w14:paraId="66335295" w14:textId="77777777" w:rsidR="00F550B2" w:rsidRDefault="00F550B2" w:rsidP="00C7426A">
                  <w:pPr>
                    <w:pStyle w:val="Alineazaodstavkom"/>
                    <w:numPr>
                      <w:ilvl w:val="0"/>
                      <w:numId w:val="0"/>
                    </w:numPr>
                    <w:spacing w:line="260" w:lineRule="exact"/>
                    <w:ind w:left="709" w:hanging="284"/>
                    <w:rPr>
                      <w:rFonts w:cs="Arial"/>
                      <w:sz w:val="20"/>
                      <w:szCs w:val="20"/>
                      <w:lang w:val="sl-SI" w:eastAsia="sl-SI"/>
                    </w:rPr>
                  </w:pPr>
                </w:p>
                <w:p w14:paraId="66335296" w14:textId="77777777" w:rsidR="00967508" w:rsidRPr="00A37DA8" w:rsidRDefault="00967508" w:rsidP="00C7426A">
                  <w:pPr>
                    <w:pStyle w:val="Alineazaodstavkom"/>
                    <w:numPr>
                      <w:ilvl w:val="0"/>
                      <w:numId w:val="0"/>
                    </w:numPr>
                    <w:spacing w:line="260" w:lineRule="exact"/>
                    <w:ind w:left="709" w:hanging="284"/>
                    <w:rPr>
                      <w:rFonts w:cs="Arial"/>
                      <w:sz w:val="20"/>
                      <w:szCs w:val="20"/>
                      <w:lang w:val="sl-SI" w:eastAsia="sl-SI"/>
                    </w:rPr>
                  </w:pPr>
                </w:p>
                <w:p w14:paraId="66335297" w14:textId="77777777" w:rsidR="00F550B2" w:rsidRPr="00A37DA8" w:rsidRDefault="00F550B2" w:rsidP="00C7426A">
                  <w:pPr>
                    <w:pStyle w:val="Odsek"/>
                    <w:numPr>
                      <w:ilvl w:val="0"/>
                      <w:numId w:val="0"/>
                    </w:numPr>
                    <w:spacing w:before="0" w:after="0" w:line="260" w:lineRule="exact"/>
                    <w:jc w:val="left"/>
                    <w:rPr>
                      <w:rFonts w:cs="Arial"/>
                      <w:sz w:val="20"/>
                      <w:szCs w:val="20"/>
                      <w:lang w:val="sl-SI" w:eastAsia="sl-SI"/>
                    </w:rPr>
                  </w:pPr>
                  <w:r w:rsidRPr="00A37DA8">
                    <w:rPr>
                      <w:rFonts w:cs="Arial"/>
                      <w:sz w:val="20"/>
                      <w:szCs w:val="20"/>
                      <w:lang w:val="sl-SI" w:eastAsia="sl-SI"/>
                    </w:rPr>
                    <w:t>7. Prikaz sodelovanja javnosti pri pripravi predloga zakona:</w:t>
                  </w:r>
                </w:p>
                <w:p w14:paraId="66335298" w14:textId="77777777" w:rsidR="00F550B2" w:rsidRPr="00A37DA8" w:rsidRDefault="00F550B2" w:rsidP="00C7426A">
                  <w:pPr>
                    <w:pStyle w:val="Odsek"/>
                    <w:numPr>
                      <w:ilvl w:val="0"/>
                      <w:numId w:val="0"/>
                    </w:numPr>
                    <w:spacing w:before="0" w:after="0" w:line="260" w:lineRule="exact"/>
                    <w:jc w:val="left"/>
                    <w:rPr>
                      <w:rFonts w:cs="Arial"/>
                      <w:sz w:val="20"/>
                      <w:szCs w:val="20"/>
                      <w:lang w:val="sl-SI" w:eastAsia="sl-SI"/>
                    </w:rPr>
                  </w:pPr>
                </w:p>
                <w:p w14:paraId="66335299" w14:textId="77777777" w:rsidR="00F550B2" w:rsidRPr="00A37DA8" w:rsidRDefault="00F550B2" w:rsidP="00C7426A">
                  <w:pPr>
                    <w:pStyle w:val="Odsek"/>
                    <w:numPr>
                      <w:ilvl w:val="0"/>
                      <w:numId w:val="0"/>
                    </w:numPr>
                    <w:spacing w:before="0" w:after="0" w:line="260" w:lineRule="exact"/>
                    <w:jc w:val="left"/>
                    <w:rPr>
                      <w:rFonts w:cs="Arial"/>
                      <w:sz w:val="20"/>
                      <w:szCs w:val="20"/>
                      <w:lang w:val="sl-SI" w:eastAsia="sl-SI"/>
                    </w:rPr>
                  </w:pPr>
                </w:p>
                <w:p w14:paraId="6633529A" w14:textId="77777777" w:rsidR="00F550B2" w:rsidRPr="00A37DA8" w:rsidRDefault="00F550B2" w:rsidP="00C7426A">
                  <w:pPr>
                    <w:pStyle w:val="Odsek"/>
                    <w:numPr>
                      <w:ilvl w:val="0"/>
                      <w:numId w:val="0"/>
                    </w:numPr>
                    <w:spacing w:before="0" w:after="0" w:line="260" w:lineRule="exact"/>
                    <w:jc w:val="both"/>
                    <w:rPr>
                      <w:rFonts w:cs="Arial"/>
                      <w:sz w:val="20"/>
                      <w:szCs w:val="20"/>
                      <w:lang w:val="sl-SI" w:eastAsia="sl-SI"/>
                    </w:rPr>
                  </w:pPr>
                  <w:r w:rsidRPr="00A37DA8">
                    <w:rPr>
                      <w:rFonts w:cs="Arial"/>
                      <w:sz w:val="20"/>
                      <w:szCs w:val="20"/>
                      <w:lang w:val="sl-SI" w:eastAsia="sl-SI"/>
                    </w:rPr>
                    <w:t>8. Navedba, kateri predstavniki predlagatelja bodo sodelovali pri delu državnega zbora in delovnih teles</w:t>
                  </w:r>
                </w:p>
                <w:p w14:paraId="6633529B" w14:textId="77777777" w:rsidR="00F550B2" w:rsidRPr="00A37DA8" w:rsidRDefault="00F550B2" w:rsidP="0085235F">
                  <w:pPr>
                    <w:overflowPunct w:val="0"/>
                    <w:autoSpaceDE w:val="0"/>
                    <w:autoSpaceDN w:val="0"/>
                    <w:adjustRightInd w:val="0"/>
                    <w:spacing w:after="0" w:line="260" w:lineRule="exact"/>
                    <w:ind w:left="786"/>
                    <w:rPr>
                      <w:rFonts w:ascii="Arial" w:eastAsia="Times New Roman" w:hAnsi="Arial" w:cs="Arial"/>
                      <w:color w:val="000000"/>
                      <w:sz w:val="20"/>
                      <w:szCs w:val="20"/>
                      <w:lang w:eastAsia="sl-SI"/>
                    </w:rPr>
                  </w:pPr>
                </w:p>
              </w:tc>
            </w:tr>
          </w:tbl>
          <w:p w14:paraId="6633529D" w14:textId="77777777" w:rsidR="00F550B2" w:rsidRPr="00A37DA8" w:rsidRDefault="00F550B2" w:rsidP="00C7426A">
            <w:pPr>
              <w:pStyle w:val="Poglavje"/>
              <w:spacing w:before="0" w:after="0" w:line="260" w:lineRule="exact"/>
              <w:jc w:val="left"/>
              <w:rPr>
                <w:sz w:val="20"/>
                <w:szCs w:val="20"/>
              </w:rPr>
            </w:pPr>
          </w:p>
        </w:tc>
      </w:tr>
      <w:tr w:rsidR="00F550B2" w:rsidRPr="00A37DA8" w14:paraId="663352A0" w14:textId="77777777" w:rsidTr="00C7426A">
        <w:tc>
          <w:tcPr>
            <w:tcW w:w="9213" w:type="dxa"/>
          </w:tcPr>
          <w:p w14:paraId="6633529F" w14:textId="77777777" w:rsidR="00F550B2" w:rsidRPr="00A37DA8" w:rsidRDefault="00F550B2" w:rsidP="00C7426A">
            <w:pPr>
              <w:pStyle w:val="Oddelek"/>
              <w:numPr>
                <w:ilvl w:val="0"/>
                <w:numId w:val="0"/>
              </w:numPr>
              <w:spacing w:before="0" w:after="0" w:line="260" w:lineRule="exact"/>
              <w:ind w:left="720"/>
              <w:jc w:val="left"/>
              <w:rPr>
                <w:rFonts w:cs="Arial"/>
                <w:sz w:val="20"/>
                <w:szCs w:val="20"/>
                <w:lang w:val="sl-SI" w:eastAsia="sl-SI"/>
              </w:rPr>
            </w:pPr>
          </w:p>
        </w:tc>
      </w:tr>
    </w:tbl>
    <w:p w14:paraId="663352A1" w14:textId="77777777" w:rsidR="00F550B2" w:rsidRPr="00A37DA8" w:rsidRDefault="00F550B2" w:rsidP="00F550B2">
      <w:pPr>
        <w:rPr>
          <w:rFonts w:ascii="Arial" w:hAnsi="Arial" w:cs="Arial"/>
          <w:b/>
          <w:sz w:val="20"/>
          <w:szCs w:val="20"/>
        </w:rPr>
      </w:pPr>
    </w:p>
    <w:p w14:paraId="663352A2" w14:textId="77777777" w:rsidR="00F550B2" w:rsidRPr="00A37DA8" w:rsidRDefault="00F550B2" w:rsidP="00F550B2">
      <w:pPr>
        <w:spacing w:after="0" w:line="240" w:lineRule="auto"/>
        <w:rPr>
          <w:rFonts w:ascii="Arial" w:hAnsi="Arial" w:cs="Arial"/>
          <w:b/>
          <w:sz w:val="20"/>
          <w:szCs w:val="20"/>
        </w:rPr>
      </w:pPr>
      <w:r w:rsidRPr="00A37DA8">
        <w:rPr>
          <w:rFonts w:ascii="Arial" w:hAnsi="Arial" w:cs="Arial"/>
          <w:b/>
          <w:sz w:val="20"/>
          <w:szCs w:val="20"/>
        </w:rPr>
        <w:br w:type="page"/>
      </w:r>
    </w:p>
    <w:tbl>
      <w:tblPr>
        <w:tblW w:w="0" w:type="auto"/>
        <w:tblLook w:val="04A0" w:firstRow="1" w:lastRow="0" w:firstColumn="1" w:lastColumn="0" w:noHBand="0" w:noVBand="1"/>
      </w:tblPr>
      <w:tblGrid>
        <w:gridCol w:w="9213"/>
      </w:tblGrid>
      <w:tr w:rsidR="00F550B2" w:rsidRPr="00A37DA8" w14:paraId="663352E6" w14:textId="77777777" w:rsidTr="00C7426A">
        <w:tc>
          <w:tcPr>
            <w:tcW w:w="9213" w:type="dxa"/>
          </w:tcPr>
          <w:tbl>
            <w:tblPr>
              <w:tblW w:w="0" w:type="auto"/>
              <w:tblLook w:val="04A0" w:firstRow="1" w:lastRow="0" w:firstColumn="1" w:lastColumn="0" w:noHBand="0" w:noVBand="1"/>
            </w:tblPr>
            <w:tblGrid>
              <w:gridCol w:w="8997"/>
            </w:tblGrid>
            <w:tr w:rsidR="00F550B2" w:rsidRPr="00A37DA8" w14:paraId="663352D3" w14:textId="77777777" w:rsidTr="005F2388">
              <w:tc>
                <w:tcPr>
                  <w:tcW w:w="8997" w:type="dxa"/>
                </w:tcPr>
                <w:p w14:paraId="663352A3" w14:textId="77777777" w:rsidR="00F550B2" w:rsidRPr="00A37DA8" w:rsidRDefault="00F550B2" w:rsidP="00C7426A">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37DA8">
                    <w:rPr>
                      <w:rFonts w:ascii="Arial" w:eastAsia="Times New Roman" w:hAnsi="Arial" w:cs="Arial"/>
                      <w:b/>
                      <w:sz w:val="20"/>
                      <w:szCs w:val="20"/>
                      <w:lang w:eastAsia="sl-SI"/>
                    </w:rPr>
                    <w:t>II. BESEDILO ČLENOV</w:t>
                  </w:r>
                </w:p>
                <w:p w14:paraId="663352A4"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p>
                <w:p w14:paraId="663352A5" w14:textId="77777777" w:rsidR="00F550B2" w:rsidRPr="00A37DA8" w:rsidRDefault="00F550B2" w:rsidP="00F550B2">
                  <w:pPr>
                    <w:numPr>
                      <w:ilvl w:val="0"/>
                      <w:numId w:val="8"/>
                    </w:numPr>
                    <w:tabs>
                      <w:tab w:val="left" w:pos="318"/>
                    </w:tabs>
                    <w:suppressAutoHyphens/>
                    <w:overflowPunct w:val="0"/>
                    <w:autoSpaceDE w:val="0"/>
                    <w:autoSpaceDN w:val="0"/>
                    <w:adjustRightInd w:val="0"/>
                    <w:spacing w:after="0" w:line="260" w:lineRule="exact"/>
                    <w:ind w:left="34" w:firstLine="0"/>
                    <w:jc w:val="center"/>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člen</w:t>
                  </w:r>
                </w:p>
                <w:p w14:paraId="663352A6"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p>
                <w:p w14:paraId="663352A7"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V Zakonu o davku od dohodkov pravnih oseb (Uradni list RS, št. 117/06, 56/08, 76/08, 5/09, 96/09, 110/09 – ZDavP-2B, 43/10, 59/11, 24/12, 30/12, 94/12, 81/13, 50/14, 23/15, 82/15 in 68/16) se za 15.a členom doda nov 15.b člen, ki se glasi:</w:t>
                  </w:r>
                </w:p>
                <w:p w14:paraId="663352A8"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p>
                <w:p w14:paraId="663352A9" w14:textId="77777777" w:rsidR="00F550B2" w:rsidRPr="00A37DA8" w:rsidRDefault="00F550B2" w:rsidP="00C7426A">
                  <w:pPr>
                    <w:tabs>
                      <w:tab w:val="left" w:pos="0"/>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»15.b člen</w:t>
                  </w:r>
                </w:p>
                <w:p w14:paraId="663352AA" w14:textId="77777777" w:rsidR="00F550B2" w:rsidRPr="00A37DA8" w:rsidRDefault="00F550B2" w:rsidP="00C7426A">
                  <w:pPr>
                    <w:tabs>
                      <w:tab w:val="left" w:pos="0"/>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(davčna osnova pri prevrednotenjih finančnih instrumentov)</w:t>
                  </w:r>
                </w:p>
                <w:p w14:paraId="663352AB" w14:textId="77777777" w:rsidR="00F550B2" w:rsidRPr="00A37DA8" w:rsidRDefault="00F550B2" w:rsidP="00C7426A">
                  <w:pPr>
                    <w:tabs>
                      <w:tab w:val="left" w:pos="0"/>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p>
                <w:p w14:paraId="663352AC" w14:textId="77777777" w:rsidR="00F550B2" w:rsidRPr="00A37DA8" w:rsidRDefault="00F550B2" w:rsidP="00C7426A">
                  <w:pPr>
                    <w:tabs>
                      <w:tab w:val="left" w:pos="0"/>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Pri ugotavljanju davčne osnove oziroma priznavanju prihodkov in odhodkov zavezanca se zneski prevrednotenj finančnih instrumentov, ki se ne pripoznajo v izkazu poslovnega izida, temveč v izkazu drugega vseobsegajočega donosa, vključijo v davčno osnovo ob odtujitvi, zamenjavi ali drugačni poravnavi oziroma odpravi finančnega instrumenta.«.</w:t>
                  </w:r>
                </w:p>
                <w:p w14:paraId="663352AD"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p>
                <w:p w14:paraId="663352AE"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p>
                <w:p w14:paraId="663352AF" w14:textId="77777777" w:rsidR="00F550B2" w:rsidRPr="00A37DA8" w:rsidRDefault="00F550B2" w:rsidP="00F550B2">
                  <w:pPr>
                    <w:numPr>
                      <w:ilvl w:val="0"/>
                      <w:numId w:val="8"/>
                    </w:numPr>
                    <w:tabs>
                      <w:tab w:val="left" w:pos="318"/>
                    </w:tabs>
                    <w:suppressAutoHyphens/>
                    <w:overflowPunct w:val="0"/>
                    <w:autoSpaceDE w:val="0"/>
                    <w:autoSpaceDN w:val="0"/>
                    <w:adjustRightInd w:val="0"/>
                    <w:spacing w:after="0" w:line="260" w:lineRule="exact"/>
                    <w:ind w:left="34" w:firstLine="0"/>
                    <w:jc w:val="center"/>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člen</w:t>
                  </w:r>
                </w:p>
                <w:p w14:paraId="663352B0"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p>
                <w:p w14:paraId="663352B1"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 xml:space="preserve">V petem odstavku 67.c člena se besedilo »ki dve zaporedni davčni obdobji ne izpolnjuje pogojev po tem poglavju« nadomesti z besedilom »katerega povprečni prihodki, ugotovljeni po pravilih o </w:t>
                  </w:r>
                  <w:proofErr w:type="spellStart"/>
                  <w:r w:rsidRPr="00A37DA8">
                    <w:rPr>
                      <w:rFonts w:ascii="Arial" w:eastAsia="Times New Roman" w:hAnsi="Arial" w:cs="Arial"/>
                      <w:sz w:val="20"/>
                      <w:szCs w:val="20"/>
                      <w:lang w:eastAsia="sl-SI"/>
                    </w:rPr>
                    <w:t>računovodenju</w:t>
                  </w:r>
                  <w:proofErr w:type="spellEnd"/>
                  <w:r w:rsidRPr="00A37DA8">
                    <w:rPr>
                      <w:rFonts w:ascii="Arial" w:eastAsia="Times New Roman" w:hAnsi="Arial" w:cs="Arial"/>
                      <w:sz w:val="20"/>
                      <w:szCs w:val="20"/>
                      <w:lang w:eastAsia="sl-SI"/>
                    </w:rPr>
                    <w:t>, v dveh zaporednih davčnih obdobjih presegajo 150.000 eurov«.</w:t>
                  </w:r>
                </w:p>
                <w:p w14:paraId="663352B2"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p>
                <w:p w14:paraId="663352B3"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p>
                <w:p w14:paraId="663352B4" w14:textId="77777777" w:rsidR="00F550B2" w:rsidRPr="00A37DA8" w:rsidRDefault="00F550B2" w:rsidP="00F550B2">
                  <w:pPr>
                    <w:numPr>
                      <w:ilvl w:val="0"/>
                      <w:numId w:val="8"/>
                    </w:numPr>
                    <w:tabs>
                      <w:tab w:val="left" w:pos="318"/>
                    </w:tabs>
                    <w:suppressAutoHyphens/>
                    <w:overflowPunct w:val="0"/>
                    <w:autoSpaceDE w:val="0"/>
                    <w:autoSpaceDN w:val="0"/>
                    <w:adjustRightInd w:val="0"/>
                    <w:spacing w:after="0" w:line="260" w:lineRule="exact"/>
                    <w:ind w:left="34" w:firstLine="0"/>
                    <w:jc w:val="center"/>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člen</w:t>
                  </w:r>
                </w:p>
                <w:p w14:paraId="663352B5"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textAlignment w:val="baseline"/>
                    <w:outlineLvl w:val="3"/>
                    <w:rPr>
                      <w:rFonts w:ascii="Arial" w:eastAsia="Times New Roman" w:hAnsi="Arial" w:cs="Arial"/>
                      <w:sz w:val="20"/>
                      <w:szCs w:val="20"/>
                      <w:lang w:eastAsia="sl-SI"/>
                    </w:rPr>
                  </w:pPr>
                </w:p>
                <w:p w14:paraId="663352B6"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Za tretjim odstavkom 67.d člena se dodajo novi četrti, peti, šesti in sedmi odstavek, ki se glasijo:</w:t>
                  </w:r>
                </w:p>
                <w:p w14:paraId="663352B7"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 xml:space="preserve">»(4) Za potrebe določanja višine prihodkov iz 67.b člena tega zakona se za poseben primer šteje, če gre za povezanost med osebami. </w:t>
                  </w:r>
                </w:p>
                <w:p w14:paraId="663352B8"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p>
                <w:p w14:paraId="663352B9"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(5) Za ugotavljanje povezanih oseb po četrtem odstavku tega člena se ustrezno uporabljajo opredelitve iz 16. in 17. člena tega zakona. Za družinske člane se štejejo tudi bratje in sestre.</w:t>
                  </w:r>
                </w:p>
                <w:p w14:paraId="663352BA"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p>
                <w:p w14:paraId="663352BB"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(6) V primeru iz četrtega in petega odstavka tega člena se v prihodke po 67.b členu štejejo prihodki zavezanca in povezanih oseb.</w:t>
                  </w:r>
                </w:p>
                <w:p w14:paraId="663352BC"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p>
                <w:p w14:paraId="663352BD"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(7) Šesti odstavek se ne uporablja, če zavezanec dokaže, da glavni ali eden glavnih namenov za shemo poslovanja ni bil izpolnjevanje pogoja glede praga prihodkov po 67.b členu tega zakona in da gre za tehtne poslovne razloge.«.</w:t>
                  </w:r>
                </w:p>
                <w:p w14:paraId="663352BE" w14:textId="77777777" w:rsidR="00F550B2" w:rsidRDefault="00F550B2" w:rsidP="00C7426A">
                  <w:pPr>
                    <w:tabs>
                      <w:tab w:val="left" w:pos="318"/>
                    </w:tabs>
                    <w:suppressAutoHyphens/>
                    <w:overflowPunct w:val="0"/>
                    <w:autoSpaceDE w:val="0"/>
                    <w:autoSpaceDN w:val="0"/>
                    <w:adjustRightInd w:val="0"/>
                    <w:spacing w:after="0" w:line="260" w:lineRule="exact"/>
                    <w:ind w:left="34"/>
                    <w:textAlignment w:val="baseline"/>
                    <w:outlineLvl w:val="3"/>
                    <w:rPr>
                      <w:rFonts w:ascii="Arial" w:eastAsia="Times New Roman" w:hAnsi="Arial" w:cs="Arial"/>
                      <w:sz w:val="20"/>
                      <w:szCs w:val="20"/>
                      <w:lang w:eastAsia="sl-SI"/>
                    </w:rPr>
                  </w:pPr>
                </w:p>
                <w:p w14:paraId="663352BF" w14:textId="77777777" w:rsidR="003945B4" w:rsidRPr="00A37DA8" w:rsidRDefault="003945B4" w:rsidP="00C7426A">
                  <w:pPr>
                    <w:tabs>
                      <w:tab w:val="left" w:pos="318"/>
                    </w:tabs>
                    <w:suppressAutoHyphens/>
                    <w:overflowPunct w:val="0"/>
                    <w:autoSpaceDE w:val="0"/>
                    <w:autoSpaceDN w:val="0"/>
                    <w:adjustRightInd w:val="0"/>
                    <w:spacing w:after="0" w:line="260" w:lineRule="exact"/>
                    <w:ind w:left="34"/>
                    <w:textAlignment w:val="baseline"/>
                    <w:outlineLvl w:val="3"/>
                    <w:rPr>
                      <w:rFonts w:ascii="Arial" w:eastAsia="Times New Roman" w:hAnsi="Arial" w:cs="Arial"/>
                      <w:sz w:val="20"/>
                      <w:szCs w:val="20"/>
                      <w:lang w:eastAsia="sl-SI"/>
                    </w:rPr>
                  </w:pPr>
                </w:p>
                <w:p w14:paraId="663352C0" w14:textId="77777777" w:rsidR="00F550B2" w:rsidRPr="00A37DA8" w:rsidRDefault="00F550B2" w:rsidP="00F550B2">
                  <w:pPr>
                    <w:numPr>
                      <w:ilvl w:val="0"/>
                      <w:numId w:val="8"/>
                    </w:numPr>
                    <w:tabs>
                      <w:tab w:val="left" w:pos="318"/>
                    </w:tabs>
                    <w:suppressAutoHyphens/>
                    <w:overflowPunct w:val="0"/>
                    <w:autoSpaceDE w:val="0"/>
                    <w:autoSpaceDN w:val="0"/>
                    <w:adjustRightInd w:val="0"/>
                    <w:spacing w:after="0" w:line="260" w:lineRule="exact"/>
                    <w:ind w:left="34" w:firstLine="0"/>
                    <w:jc w:val="center"/>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člen</w:t>
                  </w:r>
                </w:p>
                <w:p w14:paraId="663352C1"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p>
                <w:p w14:paraId="663352C2"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hAnsi="Arial" w:cs="Arial"/>
                      <w:sz w:val="20"/>
                      <w:szCs w:val="20"/>
                    </w:rPr>
                  </w:pPr>
                  <w:r w:rsidRPr="00A37DA8">
                    <w:rPr>
                      <w:rFonts w:ascii="Arial" w:hAnsi="Arial" w:cs="Arial"/>
                      <w:color w:val="000000"/>
                      <w:sz w:val="20"/>
                      <w:szCs w:val="20"/>
                    </w:rPr>
                    <w:t>V prvem odstavku 67.e člena se število »80« nadomesti s številom »60«</w:t>
                  </w:r>
                  <w:r w:rsidRPr="00A37DA8">
                    <w:rPr>
                      <w:rFonts w:ascii="Arial" w:hAnsi="Arial" w:cs="Arial"/>
                      <w:sz w:val="20"/>
                      <w:szCs w:val="20"/>
                    </w:rPr>
                    <w:t xml:space="preserve"> ter pred piko doda besedilo »vendar ne več kot 30.000 eurov ali 60.000 eurov, če je bila v koledarskem letu pred davčnim obdobjem, za katero se uveljavlja ugotavljanje davčne osnove z upoštevanjem normiranih odhodkov v skladu predpisi, ki urejajo pokojninsko in invalidsko zavarovanje, pri zavezancu obvezno zavarovana vsaj ena oseba za polni delovni čas neprekinjeno najmanj pet mesecev«.</w:t>
                  </w:r>
                </w:p>
                <w:p w14:paraId="663352C3"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p>
                <w:p w14:paraId="663352C4" w14:textId="77777777" w:rsidR="0085235F" w:rsidRDefault="0085235F" w:rsidP="00C7426A">
                  <w:pPr>
                    <w:tabs>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p>
                <w:p w14:paraId="663352C5" w14:textId="77777777" w:rsidR="003945B4" w:rsidRPr="00A37DA8" w:rsidRDefault="003945B4" w:rsidP="00C7426A">
                  <w:pPr>
                    <w:tabs>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p>
                <w:p w14:paraId="663352C6" w14:textId="77777777" w:rsidR="0085235F" w:rsidRPr="00A37DA8" w:rsidRDefault="0085235F" w:rsidP="00C7426A">
                  <w:pPr>
                    <w:tabs>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p>
                <w:p w14:paraId="663352C7" w14:textId="77777777" w:rsidR="0085235F" w:rsidRPr="00A37DA8" w:rsidRDefault="0085235F" w:rsidP="00C7426A">
                  <w:pPr>
                    <w:tabs>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p>
                <w:p w14:paraId="663352C8" w14:textId="77777777" w:rsidR="00F550B2" w:rsidRPr="00A37DA8" w:rsidRDefault="003945B4" w:rsidP="00C7426A">
                  <w:pPr>
                    <w:tabs>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r>
                    <w:rPr>
                      <w:rFonts w:ascii="Arial" w:eastAsia="Times New Roman" w:hAnsi="Arial" w:cs="Arial"/>
                      <w:sz w:val="20"/>
                      <w:lang w:eastAsia="sl-SI"/>
                    </w:rPr>
                    <w:t>PREHODNA IN</w:t>
                  </w:r>
                  <w:r w:rsidRPr="00A37DA8">
                    <w:rPr>
                      <w:rFonts w:ascii="Arial" w:eastAsia="Times New Roman" w:hAnsi="Arial" w:cs="Arial"/>
                      <w:sz w:val="20"/>
                      <w:szCs w:val="20"/>
                      <w:lang w:eastAsia="sl-SI"/>
                    </w:rPr>
                    <w:t xml:space="preserve"> </w:t>
                  </w:r>
                  <w:r w:rsidR="00F550B2" w:rsidRPr="00A37DA8">
                    <w:rPr>
                      <w:rFonts w:ascii="Arial" w:eastAsia="Times New Roman" w:hAnsi="Arial" w:cs="Arial"/>
                      <w:sz w:val="20"/>
                      <w:szCs w:val="20"/>
                      <w:lang w:eastAsia="sl-SI"/>
                    </w:rPr>
                    <w:t>KONČNA DOLOČBA</w:t>
                  </w:r>
                </w:p>
                <w:p w14:paraId="663352C9" w14:textId="77777777" w:rsidR="00F550B2" w:rsidRPr="00A37DA8" w:rsidRDefault="00F550B2" w:rsidP="00F550B2">
                  <w:pPr>
                    <w:numPr>
                      <w:ilvl w:val="0"/>
                      <w:numId w:val="8"/>
                    </w:numPr>
                    <w:tabs>
                      <w:tab w:val="left" w:pos="318"/>
                    </w:tabs>
                    <w:suppressAutoHyphens/>
                    <w:overflowPunct w:val="0"/>
                    <w:autoSpaceDE w:val="0"/>
                    <w:autoSpaceDN w:val="0"/>
                    <w:adjustRightInd w:val="0"/>
                    <w:spacing w:after="0" w:line="260" w:lineRule="exact"/>
                    <w:ind w:left="34" w:firstLine="0"/>
                    <w:jc w:val="center"/>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člen</w:t>
                  </w:r>
                </w:p>
                <w:p w14:paraId="663352CA"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(začetek veljavnosti in uporabe)</w:t>
                  </w:r>
                </w:p>
                <w:p w14:paraId="663352CB"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center"/>
                    <w:textAlignment w:val="baseline"/>
                    <w:outlineLvl w:val="3"/>
                    <w:rPr>
                      <w:rFonts w:ascii="Arial" w:eastAsia="Times New Roman" w:hAnsi="Arial" w:cs="Arial"/>
                      <w:sz w:val="20"/>
                      <w:szCs w:val="20"/>
                      <w:lang w:eastAsia="sl-SI"/>
                    </w:rPr>
                  </w:pPr>
                </w:p>
                <w:p w14:paraId="663352CC" w14:textId="77777777" w:rsidR="00A87A47" w:rsidRDefault="00A87A47" w:rsidP="00A87A47">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(1) </w:t>
                  </w:r>
                  <w:r w:rsidRPr="00D55AB6">
                    <w:rPr>
                      <w:rFonts w:ascii="Arial" w:eastAsia="Times New Roman" w:hAnsi="Arial" w:cs="Arial"/>
                      <w:sz w:val="20"/>
                      <w:szCs w:val="20"/>
                      <w:lang w:eastAsia="sl-SI"/>
                    </w:rPr>
                    <w:t>Ta zakon začne veljati naslednji dan po objavi v Uradnem listu Republike Slovenije, uporabljati pa se začne 1. januarja 2018.</w:t>
                  </w:r>
                </w:p>
                <w:p w14:paraId="663352CD" w14:textId="77777777" w:rsidR="00A87A47" w:rsidRDefault="00A87A47" w:rsidP="00A87A47">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p>
                <w:p w14:paraId="663352CE" w14:textId="77777777" w:rsidR="00A87A47" w:rsidRDefault="00A87A47" w:rsidP="00A87A47">
                  <w:pPr>
                    <w:pStyle w:val="Brezrazmikov"/>
                    <w:spacing w:line="260" w:lineRule="exact"/>
                    <w:jc w:val="both"/>
                    <w:rPr>
                      <w:rFonts w:ascii="Arial" w:hAnsi="Arial" w:cs="Arial"/>
                      <w:sz w:val="20"/>
                      <w:szCs w:val="20"/>
                    </w:rPr>
                  </w:pPr>
                  <w:r w:rsidRPr="00C72E37">
                    <w:rPr>
                      <w:rFonts w:ascii="Arial" w:hAnsi="Arial" w:cs="Arial"/>
                      <w:sz w:val="20"/>
                      <w:szCs w:val="20"/>
                    </w:rPr>
                    <w:t xml:space="preserve">(2) Do začetka uporabe spremenjenega </w:t>
                  </w:r>
                  <w:r>
                    <w:rPr>
                      <w:rFonts w:ascii="Arial" w:hAnsi="Arial" w:cs="Arial"/>
                      <w:sz w:val="20"/>
                      <w:szCs w:val="20"/>
                    </w:rPr>
                    <w:t xml:space="preserve">67.c in 67.e </w:t>
                  </w:r>
                  <w:r w:rsidRPr="00C72E37">
                    <w:rPr>
                      <w:rFonts w:ascii="Arial" w:hAnsi="Arial" w:cs="Arial"/>
                      <w:sz w:val="20"/>
                      <w:szCs w:val="20"/>
                    </w:rPr>
                    <w:t xml:space="preserve">člena se uporabljajo določbe </w:t>
                  </w:r>
                  <w:r>
                    <w:rPr>
                      <w:rFonts w:ascii="Arial" w:hAnsi="Arial" w:cs="Arial"/>
                      <w:sz w:val="20"/>
                      <w:szCs w:val="20"/>
                    </w:rPr>
                    <w:t xml:space="preserve">67.c in 67.e </w:t>
                  </w:r>
                  <w:r w:rsidRPr="00C72E37">
                    <w:rPr>
                      <w:rFonts w:ascii="Arial" w:hAnsi="Arial" w:cs="Arial"/>
                      <w:sz w:val="20"/>
                      <w:szCs w:val="20"/>
                    </w:rPr>
                    <w:t xml:space="preserve">člena </w:t>
                  </w:r>
                  <w:r w:rsidRPr="000E2EE7">
                    <w:rPr>
                      <w:rFonts w:ascii="Arial" w:hAnsi="Arial" w:cs="Arial"/>
                      <w:sz w:val="20"/>
                      <w:szCs w:val="20"/>
                    </w:rPr>
                    <w:t>Zakona o davku od dohodkov pravnih oseb (Uradni list RS, št. 117/06, 56/08, 76/08, 5/09, 96/09, 110/09 – ZDavP-2B, 43/10, 59/11, 24/12, 30/12, 94/12, 81/13, 50/14, 23/15, 82/15 in 68/16)</w:t>
                  </w:r>
                  <w:r>
                    <w:rPr>
                      <w:rFonts w:ascii="Arial" w:hAnsi="Arial" w:cs="Arial"/>
                      <w:sz w:val="20"/>
                      <w:szCs w:val="20"/>
                    </w:rPr>
                    <w:t>.</w:t>
                  </w:r>
                </w:p>
                <w:p w14:paraId="663352CF" w14:textId="77777777" w:rsidR="00F550B2"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p>
                <w:p w14:paraId="663352D0" w14:textId="77777777" w:rsidR="005F2388" w:rsidRDefault="005F2388"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p>
                <w:p w14:paraId="663352D1" w14:textId="77777777" w:rsidR="005F2388" w:rsidRPr="00A37DA8" w:rsidRDefault="005F2388"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p>
                <w:p w14:paraId="663352D2" w14:textId="77777777" w:rsidR="00F550B2" w:rsidRPr="00A37DA8" w:rsidRDefault="00F550B2" w:rsidP="00C7426A">
                  <w:pPr>
                    <w:suppressAutoHyphens/>
                    <w:overflowPunct w:val="0"/>
                    <w:autoSpaceDE w:val="0"/>
                    <w:autoSpaceDN w:val="0"/>
                    <w:adjustRightInd w:val="0"/>
                    <w:spacing w:after="0" w:line="260" w:lineRule="exact"/>
                    <w:textAlignment w:val="baseline"/>
                    <w:outlineLvl w:val="3"/>
                    <w:rPr>
                      <w:rFonts w:ascii="Arial" w:eastAsia="Times New Roman" w:hAnsi="Arial" w:cs="Arial"/>
                      <w:b/>
                      <w:color w:val="A6A6A6"/>
                      <w:sz w:val="20"/>
                      <w:szCs w:val="20"/>
                      <w:lang w:eastAsia="sl-SI"/>
                    </w:rPr>
                  </w:pPr>
                </w:p>
              </w:tc>
            </w:tr>
            <w:tr w:rsidR="00F550B2" w:rsidRPr="00A37DA8" w14:paraId="663352D5" w14:textId="77777777" w:rsidTr="005F2388">
              <w:tc>
                <w:tcPr>
                  <w:tcW w:w="8997" w:type="dxa"/>
                </w:tcPr>
                <w:p w14:paraId="663352D4" w14:textId="77777777" w:rsidR="00F550B2" w:rsidRPr="00A37DA8" w:rsidRDefault="00F550B2" w:rsidP="00C7426A">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37DA8">
                    <w:rPr>
                      <w:rFonts w:ascii="Arial" w:hAnsi="Arial" w:cs="Arial"/>
                      <w:b/>
                      <w:sz w:val="20"/>
                      <w:szCs w:val="20"/>
                    </w:rPr>
                    <w:br w:type="page"/>
                  </w:r>
                  <w:r w:rsidRPr="00A37DA8">
                    <w:rPr>
                      <w:rFonts w:ascii="Arial" w:hAnsi="Arial" w:cs="Arial"/>
                      <w:sz w:val="20"/>
                      <w:szCs w:val="20"/>
                    </w:rPr>
                    <w:br w:type="page"/>
                  </w:r>
                  <w:r w:rsidRPr="00A37DA8">
                    <w:rPr>
                      <w:rFonts w:ascii="Arial" w:eastAsia="Times New Roman" w:hAnsi="Arial" w:cs="Arial"/>
                      <w:b/>
                      <w:sz w:val="20"/>
                      <w:szCs w:val="20"/>
                      <w:lang w:eastAsia="sl-SI"/>
                    </w:rPr>
                    <w:t>III. OBRAZLOŽITEV</w:t>
                  </w:r>
                </w:p>
              </w:tc>
            </w:tr>
            <w:tr w:rsidR="00F550B2" w:rsidRPr="00A37DA8" w14:paraId="663352E4" w14:textId="77777777" w:rsidTr="005F2388">
              <w:tc>
                <w:tcPr>
                  <w:tcW w:w="8997" w:type="dxa"/>
                </w:tcPr>
                <w:p w14:paraId="663352D6"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u w:val="single"/>
                      <w:lang w:eastAsia="sl-SI"/>
                    </w:rPr>
                  </w:pPr>
                  <w:r w:rsidRPr="00A37DA8">
                    <w:rPr>
                      <w:rFonts w:ascii="Arial" w:eastAsia="Times New Roman" w:hAnsi="Arial" w:cs="Arial"/>
                      <w:sz w:val="20"/>
                      <w:szCs w:val="20"/>
                      <w:u w:val="single"/>
                      <w:lang w:eastAsia="sl-SI"/>
                    </w:rPr>
                    <w:t xml:space="preserve">K 1. členu </w:t>
                  </w:r>
                </w:p>
                <w:p w14:paraId="663352D7"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rPr>
                  </w:pPr>
                  <w:r w:rsidRPr="00A37DA8">
                    <w:rPr>
                      <w:rFonts w:ascii="Arial" w:eastAsia="Times New Roman" w:hAnsi="Arial" w:cs="Arial"/>
                      <w:sz w:val="20"/>
                      <w:szCs w:val="20"/>
                    </w:rPr>
                    <w:t>Člen zajame učinke prevrednotenj finančnih instrumentov po MSRP 9, ki jih ne zajame splošna določba 12. člena ZDDPO-2. To so učinki spremembe poštene vrednosti lastniških finančnih sredstev, ki se merijo po pošteni vrednosti z učinki v drugem vseobsegajočem donosu, in učinki sprememb poštene vrednosti zaradi spremembe (lastnega) kreditnega tveganja finančnih obveznosti, ki se merijo po pošteni vrednosti z učinki v izkazu poslovnega izida.</w:t>
                  </w:r>
                </w:p>
                <w:p w14:paraId="663352D8"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u w:val="single"/>
                      <w:lang w:eastAsia="sl-SI"/>
                    </w:rPr>
                  </w:pPr>
                </w:p>
                <w:p w14:paraId="663352D9"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u w:val="single"/>
                      <w:lang w:eastAsia="sl-SI"/>
                    </w:rPr>
                  </w:pPr>
                  <w:r w:rsidRPr="00A37DA8">
                    <w:rPr>
                      <w:rFonts w:ascii="Arial" w:eastAsia="Times New Roman" w:hAnsi="Arial" w:cs="Arial"/>
                      <w:sz w:val="20"/>
                      <w:szCs w:val="20"/>
                      <w:u w:val="single"/>
                      <w:lang w:eastAsia="sl-SI"/>
                    </w:rPr>
                    <w:t xml:space="preserve">K 2. členu </w:t>
                  </w:r>
                </w:p>
                <w:p w14:paraId="663352DA"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Člen določa nov pogoj za obvezen izstop iz sistema, vezan na povprečne prihodke dveh zaporednih davčnih obdobij.</w:t>
                  </w:r>
                </w:p>
                <w:p w14:paraId="663352DB"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p>
                <w:p w14:paraId="663352DC"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u w:val="single"/>
                      <w:lang w:eastAsia="sl-SI"/>
                    </w:rPr>
                  </w:pPr>
                  <w:r w:rsidRPr="00A37DA8">
                    <w:rPr>
                      <w:rFonts w:ascii="Arial" w:eastAsia="Times New Roman" w:hAnsi="Arial" w:cs="Arial"/>
                      <w:sz w:val="20"/>
                      <w:szCs w:val="20"/>
                      <w:u w:val="single"/>
                      <w:lang w:eastAsia="sl-SI"/>
                    </w:rPr>
                    <w:t xml:space="preserve">K 3. členu </w:t>
                  </w:r>
                </w:p>
                <w:p w14:paraId="663352DD" w14:textId="77777777" w:rsidR="00F550B2" w:rsidRPr="00A37DA8" w:rsidRDefault="00F550B2" w:rsidP="00C7426A">
                  <w:pPr>
                    <w:tabs>
                      <w:tab w:val="left" w:pos="318"/>
                    </w:tabs>
                    <w:suppressAutoHyphens/>
                    <w:overflowPunct w:val="0"/>
                    <w:autoSpaceDE w:val="0"/>
                    <w:autoSpaceDN w:val="0"/>
                    <w:adjustRightInd w:val="0"/>
                    <w:spacing w:after="0" w:line="260" w:lineRule="exact"/>
                    <w:ind w:left="34"/>
                    <w:jc w:val="both"/>
                    <w:textAlignment w:val="baseline"/>
                    <w:outlineLvl w:val="3"/>
                    <w:rPr>
                      <w:rFonts w:ascii="Arial" w:eastAsia="Times New Roman" w:hAnsi="Arial" w:cs="Arial"/>
                      <w:sz w:val="20"/>
                      <w:szCs w:val="20"/>
                      <w:lang w:eastAsia="sl-SI"/>
                    </w:rPr>
                  </w:pPr>
                  <w:r w:rsidRPr="00A37DA8">
                    <w:rPr>
                      <w:rFonts w:ascii="Arial" w:eastAsia="Times New Roman" w:hAnsi="Arial" w:cs="Arial"/>
                      <w:sz w:val="20"/>
                      <w:szCs w:val="20"/>
                      <w:lang w:eastAsia="sl-SI"/>
                    </w:rPr>
                    <w:t xml:space="preserve">Člen določa nov dodatni primer glede ugotavljanja prihodkov iz 67.b člena zakona. Ta primer je povezanost med osebami, povezano z namenom zavezanca, da doseže izpolnitev pogoja glede prihodkov, ki je pogoj za možnost ugotavljanja davčne osnove z upoštevanjem normiranih prihodkov. Ta pogoj je določen kot zgornji prag v nominalnem znesku v 67.b členu. V novem četrtem odstavku je določen primer, torej povezanost med osebami. V novem petem odstavku je določena opredelitev povezanih oseb na način, da se napotuje na že veljavne definicije povezanih oseb po zakonu. Ustrezno čezmejni povezanosti ali povezanosti med rezidenti se uporabljata opredelitvi iz 16. in 17. člena zakona. Ta člen dodatno širi obseg definicije družinskih članov na brate in sestre. Nov šesti odstavek določa seštevanje prihodkov zavezanca in tretjih oseb. Nov sedmi odstavek pa določa dejanski obseg nadgrajene določbe, in sicer, da se prihodki ne seštevajo, če zavezanec dokaže, da glavni ali eden glavnih namenov za shemo poslovanja ni bil izpolnjevanje pogoja glede praga prihodkov po 67.b členu tega zakona in da gre v njegovi situaciji ali primeru za tehtne poslovne razloge. Dokazno breme je na zavezancu. </w:t>
                  </w:r>
                </w:p>
                <w:p w14:paraId="663352DE"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u w:val="single"/>
                      <w:lang w:eastAsia="sl-SI"/>
                    </w:rPr>
                  </w:pPr>
                </w:p>
                <w:p w14:paraId="663352DF"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u w:val="single"/>
                      <w:lang w:eastAsia="sl-SI"/>
                    </w:rPr>
                  </w:pPr>
                  <w:r w:rsidRPr="00A37DA8">
                    <w:rPr>
                      <w:rFonts w:ascii="Arial" w:eastAsia="Times New Roman" w:hAnsi="Arial" w:cs="Arial"/>
                      <w:sz w:val="20"/>
                      <w:szCs w:val="20"/>
                      <w:u w:val="single"/>
                      <w:lang w:eastAsia="sl-SI"/>
                    </w:rPr>
                    <w:t xml:space="preserve">K 4. členu </w:t>
                  </w:r>
                </w:p>
                <w:p w14:paraId="663352E0"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rPr>
                  </w:pPr>
                  <w:r w:rsidRPr="00A37DA8">
                    <w:rPr>
                      <w:rFonts w:ascii="Arial" w:eastAsia="Times New Roman" w:hAnsi="Arial" w:cs="Arial"/>
                      <w:sz w:val="20"/>
                      <w:szCs w:val="20"/>
                    </w:rPr>
                    <w:t>S členom se znižuje odstotek prihodkov, ki se upoštevajo kot normirani odhodki, ter dodaja absolutna maksimalna višina normiranih odhodkov.</w:t>
                  </w:r>
                </w:p>
                <w:p w14:paraId="663352E1"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rPr>
                  </w:pPr>
                </w:p>
                <w:p w14:paraId="663352E2"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u w:val="single"/>
                      <w:lang w:eastAsia="sl-SI"/>
                    </w:rPr>
                  </w:pPr>
                  <w:r w:rsidRPr="00A37DA8">
                    <w:rPr>
                      <w:rFonts w:ascii="Arial" w:eastAsia="Times New Roman" w:hAnsi="Arial" w:cs="Arial"/>
                      <w:sz w:val="20"/>
                      <w:szCs w:val="20"/>
                      <w:u w:val="single"/>
                      <w:lang w:eastAsia="sl-SI"/>
                    </w:rPr>
                    <w:t>K 5. členu</w:t>
                  </w:r>
                </w:p>
                <w:p w14:paraId="663352E3" w14:textId="77777777" w:rsidR="00F550B2" w:rsidRPr="00A37DA8" w:rsidRDefault="00A87A47" w:rsidP="00C7426A">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color w:val="A6A6A6"/>
                      <w:sz w:val="20"/>
                      <w:szCs w:val="20"/>
                      <w:lang w:eastAsia="sl-SI"/>
                    </w:rPr>
                  </w:pPr>
                  <w:r>
                    <w:rPr>
                      <w:rFonts w:ascii="Arial" w:eastAsia="Times New Roman" w:hAnsi="Arial" w:cs="Arial"/>
                      <w:sz w:val="20"/>
                      <w:szCs w:val="20"/>
                      <w:lang w:eastAsia="sl-SI"/>
                    </w:rPr>
                    <w:t>Č</w:t>
                  </w:r>
                  <w:r w:rsidRPr="00D55AB6">
                    <w:rPr>
                      <w:rFonts w:ascii="Arial" w:eastAsia="Times New Roman" w:hAnsi="Arial" w:cs="Arial"/>
                      <w:sz w:val="20"/>
                      <w:szCs w:val="20"/>
                      <w:lang w:eastAsia="sl-SI"/>
                    </w:rPr>
                    <w:t>len določa začetek veljavnosti in uporabe zakona</w:t>
                  </w:r>
                  <w:r>
                    <w:rPr>
                      <w:rFonts w:ascii="Arial" w:eastAsia="Times New Roman" w:hAnsi="Arial" w:cs="Arial"/>
                      <w:sz w:val="20"/>
                      <w:szCs w:val="20"/>
                      <w:lang w:eastAsia="sl-SI"/>
                    </w:rPr>
                    <w:t xml:space="preserve"> ter </w:t>
                  </w:r>
                  <w:r w:rsidRPr="00207444">
                    <w:rPr>
                      <w:rFonts w:ascii="Arial" w:hAnsi="Arial" w:cs="Arial"/>
                      <w:sz w:val="20"/>
                      <w:szCs w:val="20"/>
                    </w:rPr>
                    <w:t>uporab</w:t>
                  </w:r>
                  <w:r>
                    <w:rPr>
                      <w:rFonts w:ascii="Arial" w:hAnsi="Arial" w:cs="Arial"/>
                      <w:sz w:val="20"/>
                      <w:szCs w:val="20"/>
                    </w:rPr>
                    <w:t>o</w:t>
                  </w:r>
                  <w:r w:rsidRPr="00207444">
                    <w:rPr>
                      <w:rFonts w:ascii="Arial" w:hAnsi="Arial" w:cs="Arial"/>
                      <w:sz w:val="20"/>
                      <w:szCs w:val="20"/>
                    </w:rPr>
                    <w:t xml:space="preserve"> posameznih členov zakona, veljavnega do uveljavitve tega zakona, še</w:t>
                  </w:r>
                  <w:r>
                    <w:rPr>
                      <w:rFonts w:ascii="Arial" w:hAnsi="Arial" w:cs="Arial"/>
                      <w:sz w:val="20"/>
                      <w:szCs w:val="20"/>
                    </w:rPr>
                    <w:t xml:space="preserve"> do začetka uporabe tega zakona.</w:t>
                  </w:r>
                  <w:r w:rsidR="00F550B2" w:rsidRPr="00A37DA8">
                    <w:rPr>
                      <w:rFonts w:ascii="Arial" w:eastAsia="Times New Roman" w:hAnsi="Arial" w:cs="Arial"/>
                      <w:sz w:val="20"/>
                      <w:szCs w:val="20"/>
                      <w:lang w:eastAsia="sl-SI"/>
                    </w:rPr>
                    <w:t xml:space="preserve"> </w:t>
                  </w:r>
                </w:p>
              </w:tc>
            </w:tr>
          </w:tbl>
          <w:p w14:paraId="663352E5" w14:textId="77777777" w:rsidR="00F550B2" w:rsidRPr="00A37DA8" w:rsidRDefault="00F550B2" w:rsidP="00C7426A">
            <w:pPr>
              <w:suppressAutoHyphens/>
              <w:overflowPunct w:val="0"/>
              <w:autoSpaceDE w:val="0"/>
              <w:autoSpaceDN w:val="0"/>
              <w:adjustRightInd w:val="0"/>
              <w:spacing w:after="0" w:line="260" w:lineRule="exact"/>
              <w:jc w:val="both"/>
              <w:textAlignment w:val="baseline"/>
              <w:outlineLvl w:val="3"/>
              <w:rPr>
                <w:rFonts w:ascii="Arial" w:hAnsi="Arial" w:cs="Arial"/>
                <w:color w:val="A6A6A6"/>
                <w:sz w:val="20"/>
                <w:szCs w:val="20"/>
              </w:rPr>
            </w:pPr>
          </w:p>
        </w:tc>
      </w:tr>
    </w:tbl>
    <w:p w14:paraId="663352E7" w14:textId="77777777" w:rsidR="00F550B2" w:rsidRDefault="00F550B2" w:rsidP="00F550B2">
      <w:pPr>
        <w:rPr>
          <w:rFonts w:ascii="Arial" w:hAnsi="Arial" w:cs="Arial"/>
          <w:sz w:val="20"/>
          <w:szCs w:val="20"/>
        </w:rPr>
      </w:pPr>
    </w:p>
    <w:p w14:paraId="663352E8" w14:textId="77777777" w:rsidR="005F2388" w:rsidRDefault="005F2388" w:rsidP="00F550B2">
      <w:pPr>
        <w:rPr>
          <w:rFonts w:ascii="Arial" w:hAnsi="Arial" w:cs="Arial"/>
          <w:sz w:val="20"/>
          <w:szCs w:val="20"/>
        </w:rPr>
      </w:pPr>
    </w:p>
    <w:p w14:paraId="663352E9" w14:textId="77777777" w:rsidR="005F2388" w:rsidRDefault="005F2388" w:rsidP="00F550B2">
      <w:pPr>
        <w:rPr>
          <w:rFonts w:ascii="Arial" w:hAnsi="Arial" w:cs="Arial"/>
          <w:sz w:val="20"/>
          <w:szCs w:val="20"/>
        </w:rPr>
      </w:pPr>
    </w:p>
    <w:p w14:paraId="663352EA" w14:textId="77777777" w:rsidR="005F2388" w:rsidRPr="00A37DA8" w:rsidRDefault="005F2388" w:rsidP="00F550B2">
      <w:pPr>
        <w:rPr>
          <w:rFonts w:ascii="Arial" w:hAnsi="Arial" w:cs="Arial"/>
          <w:sz w:val="20"/>
          <w:szCs w:val="20"/>
        </w:rPr>
      </w:pPr>
    </w:p>
    <w:tbl>
      <w:tblPr>
        <w:tblW w:w="0" w:type="auto"/>
        <w:tblLook w:val="04A0" w:firstRow="1" w:lastRow="0" w:firstColumn="1" w:lastColumn="0" w:noHBand="0" w:noVBand="1"/>
      </w:tblPr>
      <w:tblGrid>
        <w:gridCol w:w="9213"/>
      </w:tblGrid>
      <w:tr w:rsidR="00F550B2" w:rsidRPr="00A37DA8" w14:paraId="66335305" w14:textId="77777777" w:rsidTr="00C7426A">
        <w:tc>
          <w:tcPr>
            <w:tcW w:w="9213" w:type="dxa"/>
          </w:tcPr>
          <w:p w14:paraId="663352EB" w14:textId="77777777" w:rsidR="005F2388" w:rsidRDefault="00F550B2" w:rsidP="005F2388">
            <w:pPr>
              <w:pStyle w:val="Poglavje"/>
              <w:spacing w:before="0" w:after="0" w:line="260" w:lineRule="exact"/>
              <w:jc w:val="left"/>
              <w:rPr>
                <w:sz w:val="20"/>
                <w:szCs w:val="20"/>
              </w:rPr>
            </w:pPr>
            <w:r w:rsidRPr="00A37DA8">
              <w:rPr>
                <w:sz w:val="20"/>
                <w:szCs w:val="20"/>
              </w:rPr>
              <w:t>IV. BESEDILO ČLENOV, KI SE SPREMINJAJO</w:t>
            </w:r>
          </w:p>
          <w:p w14:paraId="663352EC" w14:textId="77777777" w:rsidR="005F2388" w:rsidRDefault="005F2388" w:rsidP="005F2388">
            <w:pPr>
              <w:pStyle w:val="Poglavje"/>
              <w:spacing w:before="0" w:after="0" w:line="260" w:lineRule="exact"/>
              <w:rPr>
                <w:sz w:val="20"/>
                <w:szCs w:val="20"/>
              </w:rPr>
            </w:pPr>
          </w:p>
          <w:p w14:paraId="663352ED" w14:textId="77777777" w:rsidR="005F2388" w:rsidRPr="00A37DA8" w:rsidRDefault="005F2388" w:rsidP="005F2388">
            <w:pPr>
              <w:pStyle w:val="Poglavje"/>
              <w:spacing w:before="0" w:after="0" w:line="260" w:lineRule="exact"/>
              <w:rPr>
                <w:sz w:val="20"/>
                <w:szCs w:val="20"/>
              </w:rPr>
            </w:pPr>
            <w:r w:rsidRPr="00A37DA8">
              <w:rPr>
                <w:sz w:val="20"/>
                <w:szCs w:val="20"/>
              </w:rPr>
              <w:t>67.c člen</w:t>
            </w:r>
          </w:p>
          <w:p w14:paraId="663352EE" w14:textId="77777777" w:rsidR="005F2388" w:rsidRPr="00A37DA8" w:rsidRDefault="005F2388" w:rsidP="005F2388">
            <w:pPr>
              <w:pStyle w:val="lennaslov1"/>
              <w:rPr>
                <w:sz w:val="20"/>
                <w:szCs w:val="20"/>
              </w:rPr>
            </w:pPr>
            <w:r w:rsidRPr="00A37DA8">
              <w:rPr>
                <w:sz w:val="20"/>
                <w:szCs w:val="20"/>
              </w:rPr>
              <w:t>(spremljanje izpolnjevanja pogojev)</w:t>
            </w:r>
          </w:p>
          <w:p w14:paraId="663352EF" w14:textId="77777777" w:rsidR="005F2388" w:rsidRPr="00A37DA8" w:rsidRDefault="005F2388" w:rsidP="005F2388">
            <w:pPr>
              <w:pStyle w:val="odstavek1"/>
              <w:rPr>
                <w:sz w:val="20"/>
                <w:szCs w:val="20"/>
              </w:rPr>
            </w:pPr>
            <w:r w:rsidRPr="00A37DA8">
              <w:rPr>
                <w:sz w:val="20"/>
                <w:szCs w:val="20"/>
              </w:rPr>
              <w:t>(1) Zavezanec iz 67.b člena tega zakona mora davčnemu organu v roku, določenim z zakonom, ki ureja davčni postopek, priglasiti, da bo ugotavljal davčno osnovo z upoštevanjem normiranih odhodkov.</w:t>
            </w:r>
          </w:p>
          <w:p w14:paraId="663352F0" w14:textId="77777777" w:rsidR="005F2388" w:rsidRPr="00A37DA8" w:rsidRDefault="005F2388" w:rsidP="005F2388">
            <w:pPr>
              <w:pStyle w:val="odstavek1"/>
              <w:rPr>
                <w:sz w:val="20"/>
                <w:szCs w:val="20"/>
              </w:rPr>
            </w:pPr>
            <w:r w:rsidRPr="00A37DA8">
              <w:rPr>
                <w:sz w:val="20"/>
                <w:szCs w:val="20"/>
              </w:rPr>
              <w:t>(2) Zavezanec iz 67.b člena tega zakona mora ugotavljati prihodke iz 67.b člena tega zakona za vsako davčno obdobje v skladu s 67.b členom tega zakona.</w:t>
            </w:r>
          </w:p>
          <w:p w14:paraId="663352F1" w14:textId="77777777" w:rsidR="005F2388" w:rsidRPr="00A37DA8" w:rsidRDefault="005F2388" w:rsidP="005F2388">
            <w:pPr>
              <w:pStyle w:val="odstavek1"/>
              <w:rPr>
                <w:sz w:val="20"/>
                <w:szCs w:val="20"/>
              </w:rPr>
            </w:pPr>
            <w:r w:rsidRPr="00A37DA8">
              <w:rPr>
                <w:sz w:val="20"/>
                <w:szCs w:val="20"/>
              </w:rPr>
              <w:t>(3) Zavezanec iz 67.b člena tega zakona mora v roku, določenim z zakonom, ki ureja davčni postopek, davčni organ obvestiti o prenehanju ugotavljanja davčne osnove z upoštevanjem normiranih odhodkov. Obvestilo učinkuje od začetka davčnega obdobja, za katero je davčni zavezanec obvestil davčni organ.</w:t>
            </w:r>
          </w:p>
          <w:p w14:paraId="663352F2" w14:textId="77777777" w:rsidR="005F2388" w:rsidRPr="00A37DA8" w:rsidRDefault="005F2388" w:rsidP="005F2388">
            <w:pPr>
              <w:pStyle w:val="odstavek1"/>
              <w:rPr>
                <w:sz w:val="20"/>
                <w:szCs w:val="20"/>
              </w:rPr>
            </w:pPr>
            <w:r w:rsidRPr="00A37DA8">
              <w:rPr>
                <w:sz w:val="20"/>
                <w:szCs w:val="20"/>
              </w:rPr>
              <w:t>(4) Zavezanec iz 67.b člena tega zakona, ki davčnemu organu predloži obvestilo iz tretjega odstavka tega člena, mora ugotavljati davčno osnovo v skladu s splošnimi pravili tega zakona.</w:t>
            </w:r>
          </w:p>
          <w:p w14:paraId="663352F3" w14:textId="77777777" w:rsidR="005F2388" w:rsidRPr="00A37DA8" w:rsidRDefault="005F2388" w:rsidP="005F2388">
            <w:pPr>
              <w:pStyle w:val="odstavek1"/>
              <w:rPr>
                <w:sz w:val="20"/>
                <w:szCs w:val="20"/>
              </w:rPr>
            </w:pPr>
            <w:r w:rsidRPr="00A37DA8">
              <w:rPr>
                <w:sz w:val="20"/>
                <w:szCs w:val="20"/>
              </w:rPr>
              <w:t>(5) Ne glede na tretji odstavek tega člena mora zavezanec iz 67.b člena tega zakona, ki dve zaporedni davčni obdobji ne izpolnjuje pogojev po tem poglavju, ugotavljati davčno osnovo v skladu s splošnimi pravili tega zakona za celotno davčno obdobje, ki sledi tema dvema davčnima obdobjema.</w:t>
            </w:r>
          </w:p>
          <w:p w14:paraId="663352F4" w14:textId="77777777" w:rsidR="005F2388" w:rsidRPr="00A37DA8" w:rsidRDefault="005F2388" w:rsidP="005F2388">
            <w:pPr>
              <w:pStyle w:val="len1"/>
              <w:rPr>
                <w:sz w:val="20"/>
                <w:szCs w:val="20"/>
              </w:rPr>
            </w:pPr>
            <w:r w:rsidRPr="00A37DA8">
              <w:rPr>
                <w:sz w:val="20"/>
                <w:szCs w:val="20"/>
              </w:rPr>
              <w:t>67.d člen</w:t>
            </w:r>
          </w:p>
          <w:p w14:paraId="663352F5" w14:textId="77777777" w:rsidR="005F2388" w:rsidRPr="00A37DA8" w:rsidRDefault="005F2388" w:rsidP="005F2388">
            <w:pPr>
              <w:pStyle w:val="lennaslov1"/>
              <w:rPr>
                <w:sz w:val="20"/>
                <w:szCs w:val="20"/>
              </w:rPr>
            </w:pPr>
            <w:r w:rsidRPr="00A37DA8">
              <w:rPr>
                <w:sz w:val="20"/>
                <w:szCs w:val="20"/>
              </w:rPr>
              <w:t>(posebni primeri ugotavljanja prihodkov iz 67.b člena)</w:t>
            </w:r>
          </w:p>
          <w:p w14:paraId="663352F6" w14:textId="77777777" w:rsidR="005F2388" w:rsidRPr="00A37DA8" w:rsidRDefault="005F2388" w:rsidP="005F2388">
            <w:pPr>
              <w:pStyle w:val="odstavek1"/>
              <w:rPr>
                <w:sz w:val="20"/>
                <w:szCs w:val="20"/>
              </w:rPr>
            </w:pPr>
            <w:r w:rsidRPr="00A37DA8">
              <w:rPr>
                <w:sz w:val="20"/>
                <w:szCs w:val="20"/>
              </w:rPr>
              <w:t>(1) Za potrebe določanja višine prihodkov iz 67.b člena tega zakona se ne šteje, da je zavezanec na novo pričel poslovati, če je v 18 mesecih pred priglasitvijo ugotavljanja davčne osnove z upoštevanjem normiranih odhodkov:</w:t>
            </w:r>
          </w:p>
          <w:p w14:paraId="663352F7" w14:textId="77777777" w:rsidR="005F2388" w:rsidRPr="00A37DA8" w:rsidRDefault="005F2388" w:rsidP="005F2388">
            <w:pPr>
              <w:pStyle w:val="tevilnatoka1"/>
              <w:rPr>
                <w:sz w:val="20"/>
                <w:szCs w:val="20"/>
              </w:rPr>
            </w:pPr>
            <w:r w:rsidRPr="00A37DA8">
              <w:rPr>
                <w:sz w:val="20"/>
                <w:szCs w:val="20"/>
              </w:rPr>
              <w:t>1.     zavezanec ustanovil družbo, zavod ali primerljivo osebo po tujem pravu;</w:t>
            </w:r>
          </w:p>
          <w:p w14:paraId="663352F8" w14:textId="77777777" w:rsidR="005F2388" w:rsidRPr="00A37DA8" w:rsidRDefault="005F2388" w:rsidP="005F2388">
            <w:pPr>
              <w:pStyle w:val="tevilnatoka1"/>
              <w:rPr>
                <w:sz w:val="20"/>
                <w:szCs w:val="20"/>
              </w:rPr>
            </w:pPr>
            <w:r w:rsidRPr="00A37DA8">
              <w:rPr>
                <w:sz w:val="20"/>
                <w:szCs w:val="20"/>
              </w:rPr>
              <w:t>2.     prišlo do preoblikovanja s prenosom enega ali več obratov na fizično osebo, ki opravlja dejavnost, če je ta fizična oseba predhodno imela delež v zavezancu, ali na družbo, s pridobitvijo lastniškega deleža;</w:t>
            </w:r>
          </w:p>
          <w:p w14:paraId="663352F9" w14:textId="77777777" w:rsidR="005F2388" w:rsidRPr="00A37DA8" w:rsidRDefault="005F2388" w:rsidP="005F2388">
            <w:pPr>
              <w:pStyle w:val="tevilnatoka1"/>
              <w:rPr>
                <w:sz w:val="20"/>
                <w:szCs w:val="20"/>
              </w:rPr>
            </w:pPr>
            <w:r w:rsidRPr="00A37DA8">
              <w:rPr>
                <w:sz w:val="20"/>
                <w:szCs w:val="20"/>
              </w:rPr>
              <w:t>3.     pričel poslovati na podlagi prenosa enega ali več obratov od druge fizične ali pravne osebe.</w:t>
            </w:r>
          </w:p>
          <w:p w14:paraId="663352FA" w14:textId="77777777" w:rsidR="005F2388" w:rsidRPr="00A37DA8" w:rsidRDefault="005F2388" w:rsidP="005F2388">
            <w:pPr>
              <w:pStyle w:val="odstavek1"/>
              <w:rPr>
                <w:sz w:val="20"/>
                <w:szCs w:val="20"/>
              </w:rPr>
            </w:pPr>
            <w:r w:rsidRPr="00A37DA8">
              <w:rPr>
                <w:sz w:val="20"/>
                <w:szCs w:val="20"/>
              </w:rPr>
              <w:t>(2) V primerih iz prejšnjega odstavka se v prihodke po 67.b členu tega zakona štejejo:</w:t>
            </w:r>
          </w:p>
          <w:p w14:paraId="663352FB" w14:textId="77777777" w:rsidR="005F2388" w:rsidRPr="00A37DA8" w:rsidRDefault="005F2388" w:rsidP="005F2388">
            <w:pPr>
              <w:pStyle w:val="tevilnatoka1"/>
              <w:rPr>
                <w:sz w:val="20"/>
                <w:szCs w:val="20"/>
              </w:rPr>
            </w:pPr>
            <w:r w:rsidRPr="00A37DA8">
              <w:rPr>
                <w:sz w:val="20"/>
                <w:szCs w:val="20"/>
              </w:rPr>
              <w:t xml:space="preserve">1.     prihodki zavezanca in družbe, zavoda ali primerljive osebe po tujem pravu, ugotovljeni po pravilih o </w:t>
            </w:r>
            <w:proofErr w:type="spellStart"/>
            <w:r w:rsidRPr="00A37DA8">
              <w:rPr>
                <w:sz w:val="20"/>
                <w:szCs w:val="20"/>
              </w:rPr>
              <w:t>računovodenju</w:t>
            </w:r>
            <w:proofErr w:type="spellEnd"/>
            <w:r w:rsidRPr="00A37DA8">
              <w:rPr>
                <w:sz w:val="20"/>
                <w:szCs w:val="20"/>
              </w:rPr>
              <w:t>;</w:t>
            </w:r>
          </w:p>
          <w:p w14:paraId="663352FC" w14:textId="77777777" w:rsidR="005F2388" w:rsidRPr="00A37DA8" w:rsidRDefault="005F2388" w:rsidP="005F2388">
            <w:pPr>
              <w:pStyle w:val="tevilnatoka1"/>
              <w:rPr>
                <w:sz w:val="20"/>
                <w:szCs w:val="20"/>
              </w:rPr>
            </w:pPr>
            <w:r w:rsidRPr="00A37DA8">
              <w:rPr>
                <w:sz w:val="20"/>
                <w:szCs w:val="20"/>
              </w:rPr>
              <w:t>2.     prihodki zavezanca in družbe, ki je prevzela enega ali več obratov zavezanca, in</w:t>
            </w:r>
          </w:p>
          <w:p w14:paraId="663352FD" w14:textId="77777777" w:rsidR="005F2388" w:rsidRPr="00A37DA8" w:rsidRDefault="005F2388" w:rsidP="005F2388">
            <w:pPr>
              <w:pStyle w:val="tevilnatoka1"/>
              <w:rPr>
                <w:sz w:val="20"/>
                <w:szCs w:val="20"/>
              </w:rPr>
            </w:pPr>
            <w:r w:rsidRPr="00A37DA8">
              <w:rPr>
                <w:sz w:val="20"/>
                <w:szCs w:val="20"/>
              </w:rPr>
              <w:t>3.     prihodki zavezanca in osebe, ki je prenesla enega ali več obratov na zavezanca,</w:t>
            </w:r>
          </w:p>
          <w:p w14:paraId="663352FE" w14:textId="77777777" w:rsidR="005F2388" w:rsidRPr="00A37DA8" w:rsidRDefault="005F2388" w:rsidP="005F2388">
            <w:pPr>
              <w:pStyle w:val="zamaknjenadolobaprvinivo1"/>
              <w:rPr>
                <w:sz w:val="20"/>
                <w:szCs w:val="20"/>
              </w:rPr>
            </w:pPr>
            <w:r w:rsidRPr="00A37DA8">
              <w:rPr>
                <w:sz w:val="20"/>
                <w:szCs w:val="20"/>
              </w:rPr>
              <w:t xml:space="preserve">doseženi v obdobju iz 67.b člena tega zakona. </w:t>
            </w:r>
          </w:p>
          <w:p w14:paraId="663352FF" w14:textId="77777777" w:rsidR="005F2388" w:rsidRPr="00A37DA8" w:rsidRDefault="005F2388" w:rsidP="005F2388">
            <w:pPr>
              <w:pStyle w:val="odstavek1"/>
              <w:rPr>
                <w:sz w:val="20"/>
                <w:szCs w:val="20"/>
              </w:rPr>
            </w:pPr>
            <w:r w:rsidRPr="00A37DA8">
              <w:rPr>
                <w:sz w:val="20"/>
                <w:szCs w:val="20"/>
              </w:rPr>
              <w:t>(3) Za obrat po tem členu se šteje obrat iz 39. člena zakona.</w:t>
            </w:r>
          </w:p>
          <w:p w14:paraId="66335300" w14:textId="77777777" w:rsidR="005F2388" w:rsidRPr="00A37DA8" w:rsidRDefault="005F2388" w:rsidP="005F2388">
            <w:pPr>
              <w:pStyle w:val="len1"/>
              <w:rPr>
                <w:sz w:val="20"/>
                <w:szCs w:val="20"/>
              </w:rPr>
            </w:pPr>
            <w:r w:rsidRPr="00A37DA8">
              <w:rPr>
                <w:sz w:val="20"/>
                <w:szCs w:val="20"/>
              </w:rPr>
              <w:t>67.e člen</w:t>
            </w:r>
          </w:p>
          <w:p w14:paraId="66335301" w14:textId="77777777" w:rsidR="005F2388" w:rsidRPr="00A37DA8" w:rsidRDefault="005F2388" w:rsidP="005F2388">
            <w:pPr>
              <w:pStyle w:val="lennaslov1"/>
              <w:rPr>
                <w:sz w:val="20"/>
                <w:szCs w:val="20"/>
              </w:rPr>
            </w:pPr>
            <w:r w:rsidRPr="00A37DA8">
              <w:rPr>
                <w:sz w:val="20"/>
                <w:szCs w:val="20"/>
              </w:rPr>
              <w:t>(določanje davčne osnove z upoštevanjem normiranih odhodkov)</w:t>
            </w:r>
          </w:p>
          <w:p w14:paraId="66335302" w14:textId="77777777" w:rsidR="005F2388" w:rsidRPr="00A37DA8" w:rsidRDefault="005F2388" w:rsidP="005F2388">
            <w:pPr>
              <w:pStyle w:val="odstavek1"/>
              <w:rPr>
                <w:sz w:val="20"/>
                <w:szCs w:val="20"/>
              </w:rPr>
            </w:pPr>
            <w:r w:rsidRPr="00A37DA8">
              <w:rPr>
                <w:sz w:val="20"/>
                <w:szCs w:val="20"/>
              </w:rPr>
              <w:t>(1) Pri ugotavljanju davčne osnove z upoštevanjem normiranih odhodkov se upoštevajo davčno priznani prihodki (v nadaljnjem besedilu tega poglavja: prihodki) in normirani odhodki v višini 80</w:t>
            </w:r>
            <w:r w:rsidRPr="00A37DA8">
              <w:rPr>
                <w:rFonts w:eastAsia="MS Mincho"/>
                <w:sz w:val="20"/>
                <w:szCs w:val="20"/>
              </w:rPr>
              <w:t> </w:t>
            </w:r>
            <w:r w:rsidRPr="00A37DA8">
              <w:rPr>
                <w:sz w:val="20"/>
                <w:szCs w:val="20"/>
              </w:rPr>
              <w:t>% teh prihodkov.</w:t>
            </w:r>
          </w:p>
          <w:p w14:paraId="66335303" w14:textId="77777777" w:rsidR="005F2388" w:rsidRPr="00A37DA8" w:rsidRDefault="005F2388" w:rsidP="005F2388">
            <w:pPr>
              <w:pStyle w:val="odstavek1"/>
              <w:rPr>
                <w:sz w:val="20"/>
                <w:szCs w:val="20"/>
              </w:rPr>
            </w:pPr>
            <w:r w:rsidRPr="00A37DA8">
              <w:rPr>
                <w:sz w:val="20"/>
                <w:szCs w:val="20"/>
              </w:rPr>
              <w:t>(2) Pri ugotavljanju davčne osnove z upoštevanjem normiranih odhodkov se ne morejo uveljavljati davčne olajšave, ki so določene s tem zakonom in drugimi zakoni, če zmanjšujejo davčno osnovo po tem zakonu.</w:t>
            </w:r>
          </w:p>
          <w:p w14:paraId="66335304" w14:textId="77777777" w:rsidR="005F2388" w:rsidRPr="00A37DA8" w:rsidRDefault="005F2388" w:rsidP="005F2388">
            <w:pPr>
              <w:pStyle w:val="odstavek1"/>
              <w:rPr>
                <w:sz w:val="20"/>
                <w:szCs w:val="20"/>
              </w:rPr>
            </w:pPr>
            <w:r w:rsidRPr="00A37DA8">
              <w:rPr>
                <w:sz w:val="20"/>
                <w:szCs w:val="20"/>
              </w:rPr>
              <w:t>(3) Pri ugotavljanju davčne osnove z upoštevanjem normiranih odhodkov se davčna osnova ne more zmanjševati za priznane odhodke, zmanjšanja davčne osnove in davčno izgubo.</w:t>
            </w:r>
          </w:p>
        </w:tc>
      </w:tr>
      <w:tr w:rsidR="00F550B2" w:rsidRPr="00A37DA8" w14:paraId="66335308" w14:textId="77777777" w:rsidTr="00C7426A">
        <w:tc>
          <w:tcPr>
            <w:tcW w:w="9213" w:type="dxa"/>
          </w:tcPr>
          <w:p w14:paraId="66335306" w14:textId="77777777" w:rsidR="00F550B2" w:rsidRPr="00A37DA8" w:rsidRDefault="00F550B2" w:rsidP="00C7426A">
            <w:pPr>
              <w:pStyle w:val="Neotevilenodstavek"/>
              <w:spacing w:before="0" w:after="0" w:line="260" w:lineRule="exact"/>
              <w:rPr>
                <w:rFonts w:cs="Arial"/>
                <w:sz w:val="20"/>
                <w:szCs w:val="20"/>
                <w:lang w:val="sl-SI" w:eastAsia="sl-SI"/>
              </w:rPr>
            </w:pPr>
          </w:p>
          <w:p w14:paraId="66335307" w14:textId="77777777" w:rsidR="00F550B2" w:rsidRPr="00A37DA8" w:rsidRDefault="00F550B2" w:rsidP="00C7426A">
            <w:pPr>
              <w:pStyle w:val="Neotevilenodstavek"/>
              <w:spacing w:before="0" w:after="0" w:line="260" w:lineRule="exact"/>
              <w:rPr>
                <w:rFonts w:cs="Arial"/>
                <w:color w:val="A6A6A6"/>
                <w:sz w:val="20"/>
                <w:szCs w:val="20"/>
                <w:lang w:val="sl-SI" w:eastAsia="sl-SI"/>
              </w:rPr>
            </w:pPr>
          </w:p>
        </w:tc>
      </w:tr>
    </w:tbl>
    <w:p w14:paraId="66335309" w14:textId="77777777" w:rsidR="00063C95" w:rsidRPr="00A37DA8" w:rsidRDefault="00786D88">
      <w:pPr>
        <w:rPr>
          <w:rFonts w:ascii="Arial" w:hAnsi="Arial" w:cs="Arial"/>
          <w:sz w:val="20"/>
          <w:szCs w:val="20"/>
        </w:rPr>
      </w:pPr>
    </w:p>
    <w:sectPr w:rsidR="00063C95" w:rsidRPr="00A37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1624"/>
    <w:multiLevelType w:val="hybridMultilevel"/>
    <w:tmpl w:val="61A8F44A"/>
    <w:lvl w:ilvl="0" w:tplc="76AC1A70">
      <w:start w:val="49"/>
      <w:numFmt w:val="bullet"/>
      <w:lvlText w:val=""/>
      <w:lvlJc w:val="left"/>
      <w:pPr>
        <w:ind w:left="786"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C8F2DCE"/>
    <w:multiLevelType w:val="hybridMultilevel"/>
    <w:tmpl w:val="F5C08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3FF265F4"/>
    <w:multiLevelType w:val="hybridMultilevel"/>
    <w:tmpl w:val="F31C22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4"/>
  </w:num>
  <w:num w:numId="3">
    <w:abstractNumId w:val="5"/>
    <w:lvlOverride w:ilvl="0">
      <w:startOverride w:val="1"/>
    </w:lvlOverride>
  </w:num>
  <w:num w:numId="4">
    <w:abstractNumId w:val="1"/>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B2"/>
    <w:rsid w:val="00057111"/>
    <w:rsid w:val="003945B4"/>
    <w:rsid w:val="00565DE2"/>
    <w:rsid w:val="00567348"/>
    <w:rsid w:val="005F2388"/>
    <w:rsid w:val="00786D88"/>
    <w:rsid w:val="0085235F"/>
    <w:rsid w:val="00967508"/>
    <w:rsid w:val="00A104AD"/>
    <w:rsid w:val="00A173D2"/>
    <w:rsid w:val="00A37DA8"/>
    <w:rsid w:val="00A87A47"/>
    <w:rsid w:val="00F550B2"/>
    <w:rsid w:val="00FA24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51F6"/>
  <w15:docId w15:val="{FE0BFEE1-5477-4348-B74E-A189E8C5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550B2"/>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redpisa">
    <w:name w:val="Naslov_predpisa"/>
    <w:basedOn w:val="Navaden"/>
    <w:link w:val="NaslovpredpisaZnak"/>
    <w:qFormat/>
    <w:rsid w:val="00F550B2"/>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rsid w:val="00F550B2"/>
    <w:rPr>
      <w:rFonts w:ascii="Arial" w:eastAsia="Times New Roman" w:hAnsi="Arial" w:cs="Times New Roman"/>
      <w:b/>
      <w:lang w:val="x-none" w:eastAsia="x-none"/>
    </w:rPr>
  </w:style>
  <w:style w:type="paragraph" w:customStyle="1" w:styleId="Poglavje">
    <w:name w:val="Poglavje"/>
    <w:basedOn w:val="Navaden"/>
    <w:qFormat/>
    <w:rsid w:val="00F550B2"/>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F550B2"/>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F550B2"/>
    <w:rPr>
      <w:rFonts w:ascii="Arial" w:eastAsia="Times New Roman" w:hAnsi="Arial" w:cs="Times New Roman"/>
      <w:lang w:val="x-none" w:eastAsia="x-none"/>
    </w:rPr>
  </w:style>
  <w:style w:type="paragraph" w:customStyle="1" w:styleId="Oddelek">
    <w:name w:val="Oddelek"/>
    <w:basedOn w:val="Navaden"/>
    <w:link w:val="OddelekZnak1"/>
    <w:qFormat/>
    <w:rsid w:val="00F550B2"/>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lang w:val="x-none" w:eastAsia="x-none"/>
    </w:rPr>
  </w:style>
  <w:style w:type="character" w:customStyle="1" w:styleId="OddelekZnak1">
    <w:name w:val="Oddelek Znak1"/>
    <w:link w:val="Oddelek"/>
    <w:rsid w:val="00F550B2"/>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F550B2"/>
    <w:pPr>
      <w:numPr>
        <w:numId w:val="4"/>
      </w:numPr>
      <w:overflowPunct w:val="0"/>
      <w:autoSpaceDE w:val="0"/>
      <w:autoSpaceDN w:val="0"/>
      <w:adjustRightInd w:val="0"/>
      <w:spacing w:after="0" w:line="200" w:lineRule="exact"/>
      <w:ind w:left="709" w:hanging="284"/>
      <w:jc w:val="both"/>
      <w:textAlignment w:val="baseline"/>
    </w:pPr>
    <w:rPr>
      <w:rFonts w:ascii="Arial" w:eastAsia="Times New Roman" w:hAnsi="Arial"/>
      <w:lang w:val="x-none" w:eastAsia="x-none"/>
    </w:rPr>
  </w:style>
  <w:style w:type="character" w:customStyle="1" w:styleId="AlineazaodstavkomZnak">
    <w:name w:val="Alinea za odstavkom Znak"/>
    <w:link w:val="Alineazaodstavkom"/>
    <w:rsid w:val="00F550B2"/>
    <w:rPr>
      <w:rFonts w:ascii="Arial" w:eastAsia="Times New Roman" w:hAnsi="Arial" w:cs="Times New Roman"/>
      <w:lang w:val="x-none" w:eastAsia="x-none"/>
    </w:rPr>
  </w:style>
  <w:style w:type="paragraph" w:customStyle="1" w:styleId="Odstavekseznama1">
    <w:name w:val="Odstavek seznama1"/>
    <w:basedOn w:val="Navaden"/>
    <w:qFormat/>
    <w:rsid w:val="00F550B2"/>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F550B2"/>
    <w:pPr>
      <w:overflowPunct w:val="0"/>
      <w:autoSpaceDE w:val="0"/>
      <w:autoSpaceDN w:val="0"/>
      <w:adjustRightInd w:val="0"/>
      <w:spacing w:after="0" w:line="200" w:lineRule="exact"/>
      <w:ind w:left="720" w:hanging="360"/>
      <w:jc w:val="both"/>
      <w:textAlignment w:val="baseline"/>
    </w:pPr>
    <w:rPr>
      <w:rFonts w:ascii="Arial" w:eastAsia="Times New Roman" w:hAnsi="Arial"/>
      <w:lang w:val="x-none" w:eastAsia="x-none"/>
    </w:rPr>
  </w:style>
  <w:style w:type="character" w:customStyle="1" w:styleId="AlineazatokoZnak">
    <w:name w:val="Alinea za točko Znak"/>
    <w:link w:val="Alineazatoko"/>
    <w:rsid w:val="00F550B2"/>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F550B2"/>
    <w:rPr>
      <w:rFonts w:ascii="Arial" w:hAnsi="Arial"/>
    </w:rPr>
  </w:style>
  <w:style w:type="paragraph" w:customStyle="1" w:styleId="rkovnatokazaodstavkom">
    <w:name w:val="Črkovna točka_za odstavkom"/>
    <w:basedOn w:val="Navaden"/>
    <w:link w:val="rkovnatokazaodstavkomZnak"/>
    <w:qFormat/>
    <w:rsid w:val="00F550B2"/>
    <w:pPr>
      <w:numPr>
        <w:numId w:val="3"/>
      </w:numPr>
      <w:overflowPunct w:val="0"/>
      <w:autoSpaceDE w:val="0"/>
      <w:autoSpaceDN w:val="0"/>
      <w:adjustRightInd w:val="0"/>
      <w:spacing w:after="0" w:line="200" w:lineRule="exact"/>
      <w:jc w:val="both"/>
      <w:textAlignment w:val="baseline"/>
    </w:pPr>
    <w:rPr>
      <w:rFonts w:ascii="Arial" w:eastAsiaTheme="minorHAnsi" w:hAnsi="Arial" w:cstheme="minorBidi"/>
    </w:rPr>
  </w:style>
  <w:style w:type="paragraph" w:customStyle="1" w:styleId="Odsek">
    <w:name w:val="Odsek"/>
    <w:basedOn w:val="Oddelek"/>
    <w:link w:val="OdsekZnak"/>
    <w:qFormat/>
    <w:rsid w:val="00F550B2"/>
    <w:pPr>
      <w:numPr>
        <w:numId w:val="1"/>
      </w:numPr>
      <w:ind w:left="0" w:firstLine="0"/>
    </w:pPr>
  </w:style>
  <w:style w:type="character" w:customStyle="1" w:styleId="OdsekZnak">
    <w:name w:val="Odsek Znak"/>
    <w:link w:val="Odsek"/>
    <w:rsid w:val="00F550B2"/>
    <w:rPr>
      <w:rFonts w:ascii="Arial" w:eastAsia="Times New Roman" w:hAnsi="Arial" w:cs="Times New Roman"/>
      <w:b/>
      <w:lang w:val="x-none" w:eastAsia="x-none"/>
    </w:rPr>
  </w:style>
  <w:style w:type="paragraph" w:customStyle="1" w:styleId="len1">
    <w:name w:val="len1"/>
    <w:basedOn w:val="Navaden"/>
    <w:rsid w:val="00F550B2"/>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F550B2"/>
    <w:pPr>
      <w:spacing w:before="240" w:after="0" w:line="240" w:lineRule="auto"/>
      <w:ind w:firstLine="1021"/>
      <w:jc w:val="both"/>
    </w:pPr>
    <w:rPr>
      <w:rFonts w:ascii="Arial" w:eastAsia="Times New Roman" w:hAnsi="Arial" w:cs="Arial"/>
      <w:lang w:eastAsia="sl-SI"/>
    </w:rPr>
  </w:style>
  <w:style w:type="paragraph" w:customStyle="1" w:styleId="tevilnatoka1">
    <w:name w:val="tevilnatoka1"/>
    <w:basedOn w:val="Navaden"/>
    <w:rsid w:val="00F550B2"/>
    <w:pPr>
      <w:spacing w:after="0" w:line="240" w:lineRule="auto"/>
      <w:ind w:left="425" w:hanging="425"/>
      <w:jc w:val="both"/>
    </w:pPr>
    <w:rPr>
      <w:rFonts w:ascii="Arial" w:eastAsia="Times New Roman" w:hAnsi="Arial" w:cs="Arial"/>
      <w:lang w:eastAsia="sl-SI"/>
    </w:rPr>
  </w:style>
  <w:style w:type="paragraph" w:customStyle="1" w:styleId="lennaslov1">
    <w:name w:val="lennaslov1"/>
    <w:basedOn w:val="Navaden"/>
    <w:rsid w:val="00F550B2"/>
    <w:pPr>
      <w:spacing w:after="0" w:line="240" w:lineRule="auto"/>
      <w:jc w:val="center"/>
    </w:pPr>
    <w:rPr>
      <w:rFonts w:ascii="Arial" w:eastAsia="Times New Roman" w:hAnsi="Arial" w:cs="Arial"/>
      <w:b/>
      <w:bCs/>
      <w:lang w:eastAsia="sl-SI"/>
    </w:rPr>
  </w:style>
  <w:style w:type="paragraph" w:customStyle="1" w:styleId="zamaknjenadolobaprvinivo1">
    <w:name w:val="zamaknjenadolobaprvinivo1"/>
    <w:basedOn w:val="Navaden"/>
    <w:rsid w:val="00F550B2"/>
    <w:pPr>
      <w:spacing w:after="0" w:line="240" w:lineRule="auto"/>
      <w:jc w:val="both"/>
    </w:pPr>
    <w:rPr>
      <w:rFonts w:ascii="Arial" w:eastAsia="Times New Roman" w:hAnsi="Arial" w:cs="Arial"/>
      <w:lang w:eastAsia="sl-SI"/>
    </w:rPr>
  </w:style>
  <w:style w:type="paragraph" w:styleId="Brezrazmikov">
    <w:name w:val="No Spacing"/>
    <w:uiPriority w:val="1"/>
    <w:qFormat/>
    <w:rsid w:val="00A87A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5d885e1-f2d7-4ffc-80f5-e7c266c6408c">YPDRX2FCMFN4-31-683</_dlc_DocId>
    <_dlc_DocIdUrl xmlns="45d885e1-f2d7-4ffc-80f5-e7c266c6408c">
      <Url>https://iportal.mf.si/podrocja/davkicarine/Dokumenti_skupni_rabi_DSDCJP/_layouts/15/DocIdRedir.aspx?ID=YPDRX2FCMFN4-31-683</Url>
      <Description>YPDRX2FCMFN4-31-683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4F42A6AA591E6448262066C1D2F96B8" ma:contentTypeVersion="0" ma:contentTypeDescription="Ustvari nov dokument." ma:contentTypeScope="" ma:versionID="0939215f063735e4a6899037bf79b3f7">
  <xsd:schema xmlns:xsd="http://www.w3.org/2001/XMLSchema" xmlns:xs="http://www.w3.org/2001/XMLSchema" xmlns:p="http://schemas.microsoft.com/office/2006/metadata/properties" xmlns:ns2="45d885e1-f2d7-4ffc-80f5-e7c266c6408c" targetNamespace="http://schemas.microsoft.com/office/2006/metadata/properties" ma:root="true" ma:fieldsID="106b85407a65db458b3181becf7ea192" ns2:_="">
    <xsd:import namespace="45d885e1-f2d7-4ffc-80f5-e7c266c640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85e1-f2d7-4ffc-80f5-e7c266c6408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63C22-2301-46FD-8550-C14AFA34CA09}">
  <ds:schemaRefs>
    <ds:schemaRef ds:uri="http://schemas.microsoft.com/sharepoint/v3/contenttype/forms"/>
  </ds:schemaRefs>
</ds:datastoreItem>
</file>

<file path=customXml/itemProps2.xml><?xml version="1.0" encoding="utf-8"?>
<ds:datastoreItem xmlns:ds="http://schemas.openxmlformats.org/officeDocument/2006/customXml" ds:itemID="{CE5C9136-5568-49B4-95BC-3CA18DF2E138}">
  <ds:schemaRefs>
    <ds:schemaRef ds:uri="http://schemas.microsoft.com/sharepoint/events"/>
  </ds:schemaRefs>
</ds:datastoreItem>
</file>

<file path=customXml/itemProps3.xml><?xml version="1.0" encoding="utf-8"?>
<ds:datastoreItem xmlns:ds="http://schemas.openxmlformats.org/officeDocument/2006/customXml" ds:itemID="{9695BF93-CD41-4E86-85B9-6099C401856B}">
  <ds:schemaRefs>
    <ds:schemaRef ds:uri="http://schemas.microsoft.com/office/2006/documentManagement/types"/>
    <ds:schemaRef ds:uri="http://purl.org/dc/terms/"/>
    <ds:schemaRef ds:uri="45d885e1-f2d7-4ffc-80f5-e7c266c6408c"/>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3EF9D4A-6CC9-40BC-8B17-8CC7057EB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85e1-f2d7-4ffc-80f5-e7c266c6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3816</Words>
  <Characters>21756</Characters>
  <Application>Microsoft Office Word</Application>
  <DocSecurity>4</DocSecurity>
  <Lines>181</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25521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Tadeja Rupnik</dc:creator>
  <cp:lastModifiedBy>Igor Knez</cp:lastModifiedBy>
  <cp:revision>2</cp:revision>
  <dcterms:created xsi:type="dcterms:W3CDTF">2017-07-24T09:39:00Z</dcterms:created>
  <dcterms:modified xsi:type="dcterms:W3CDTF">2017-07-24T09:39:00Z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0e611ca0-5e6a-4f3c-8e25-eb06c8ed7284</vt:lpwstr>
  </property>
  <property fmtid="{D5CDD505-2E9C-101B-9397-08002B2CF9AE}" pid="3" name="ContentTypeId">
    <vt:lpwstr>0x01010014F42A6AA591E6448262066C1D2F96B8</vt:lpwstr>
  </property>
</Properties>
</file>